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sz w:val="44"/>
          <w:szCs w:val="44"/>
        </w:rPr>
      </w:pPr>
    </w:p>
    <w:p>
      <w:pPr>
        <w:rPr>
          <w:sz w:val="44"/>
          <w:szCs w:val="44"/>
        </w:rPr>
      </w:pPr>
    </w:p>
    <w:p>
      <w:pPr>
        <w:rPr>
          <w:sz w:val="44"/>
          <w:szCs w:val="44"/>
        </w:rPr>
      </w:pPr>
    </w:p>
    <w:p>
      <w:pPr>
        <w:rPr>
          <w:sz w:val="72"/>
          <w:szCs w:val="72"/>
          <w:lang w:eastAsia="zh-CN"/>
        </w:rPr>
      </w:pPr>
      <w:r>
        <w:rPr>
          <w:rFonts w:hint="eastAsia"/>
          <w:sz w:val="72"/>
          <w:szCs w:val="72"/>
          <w:lang w:eastAsia="zh-CN"/>
        </w:rPr>
        <w:t>建设项目环境影响报告表</w:t>
      </w:r>
    </w:p>
    <w:p>
      <w:pPr>
        <w:jc w:val="center"/>
        <w:rPr>
          <w:sz w:val="48"/>
          <w:szCs w:val="48"/>
          <w:lang w:eastAsia="zh-CN"/>
        </w:rPr>
      </w:pPr>
      <w:r>
        <w:rPr>
          <w:rFonts w:hint="eastAsia"/>
          <w:sz w:val="48"/>
          <w:szCs w:val="48"/>
          <w:lang w:eastAsia="zh-CN"/>
        </w:rPr>
        <w:t>（污染影响类）</w:t>
      </w:r>
    </w:p>
    <w:p>
      <w:pPr>
        <w:rPr>
          <w:sz w:val="44"/>
          <w:szCs w:val="44"/>
          <w:lang w:eastAsia="zh-CN"/>
        </w:rPr>
      </w:pPr>
    </w:p>
    <w:p>
      <w:pPr>
        <w:rPr>
          <w:sz w:val="44"/>
          <w:szCs w:val="44"/>
          <w:lang w:eastAsia="zh-CN"/>
        </w:rPr>
      </w:pPr>
    </w:p>
    <w:p>
      <w:pPr>
        <w:rPr>
          <w:sz w:val="44"/>
          <w:szCs w:val="44"/>
          <w:lang w:eastAsia="zh-CN"/>
        </w:rPr>
      </w:pPr>
    </w:p>
    <w:p>
      <w:pPr>
        <w:rPr>
          <w:spacing w:val="3"/>
          <w:sz w:val="36"/>
          <w:szCs w:val="36"/>
          <w:u w:val="single"/>
          <w:lang w:eastAsia="zh-CN"/>
        </w:rPr>
      </w:pPr>
      <w:r>
        <w:rPr>
          <w:rFonts w:hint="eastAsia"/>
          <w:sz w:val="36"/>
          <w:szCs w:val="36"/>
          <w:lang w:eastAsia="zh-CN"/>
        </w:rPr>
        <w:t>项目名称：</w:t>
      </w:r>
      <w:r>
        <w:rPr>
          <w:rFonts w:hint="eastAsia"/>
          <w:spacing w:val="3"/>
          <w:sz w:val="36"/>
          <w:szCs w:val="36"/>
          <w:u w:val="single"/>
          <w:lang w:eastAsia="zh-CN"/>
        </w:rPr>
        <w:t>马瑞利动力系统(合肥)有限公司年产100万件</w:t>
      </w:r>
    </w:p>
    <w:p>
      <w:pPr>
        <w:ind w:firstLine="1830" w:firstLineChars="500"/>
        <w:rPr>
          <w:sz w:val="36"/>
          <w:szCs w:val="36"/>
          <w:lang w:eastAsia="zh-CN"/>
        </w:rPr>
      </w:pPr>
      <w:r>
        <w:rPr>
          <w:rFonts w:hint="eastAsia"/>
          <w:spacing w:val="3"/>
          <w:sz w:val="36"/>
          <w:szCs w:val="36"/>
          <w:u w:val="single"/>
          <w:lang w:eastAsia="zh-CN"/>
        </w:rPr>
        <w:t>驻车执行器</w:t>
      </w:r>
      <w:r>
        <w:rPr>
          <w:spacing w:val="10"/>
          <w:sz w:val="36"/>
          <w:szCs w:val="36"/>
          <w:u w:val="single"/>
          <w:lang w:eastAsia="zh-CN"/>
        </w:rPr>
        <w:t>项目</w:t>
      </w:r>
      <w:r>
        <w:rPr>
          <w:spacing w:val="5"/>
          <w:sz w:val="36"/>
          <w:szCs w:val="36"/>
          <w:u w:val="single"/>
          <w:lang w:eastAsia="zh-CN"/>
        </w:rPr>
        <w:t xml:space="preserve"> </w:t>
      </w:r>
    </w:p>
    <w:p>
      <w:pPr>
        <w:rPr>
          <w:spacing w:val="3"/>
          <w:sz w:val="36"/>
          <w:szCs w:val="36"/>
          <w:u w:val="single"/>
          <w:lang w:eastAsia="zh-CN"/>
        </w:rPr>
      </w:pPr>
      <w:r>
        <w:rPr>
          <w:rFonts w:hint="eastAsia"/>
          <w:sz w:val="36"/>
          <w:szCs w:val="36"/>
          <w:lang w:eastAsia="zh-CN"/>
        </w:rPr>
        <w:t>建设单位（盖章）：</w:t>
      </w:r>
      <w:r>
        <w:rPr>
          <w:spacing w:val="3"/>
          <w:sz w:val="36"/>
          <w:szCs w:val="36"/>
          <w:u w:val="single"/>
          <w:lang w:eastAsia="zh-CN"/>
        </w:rPr>
        <w:t>马瑞利动力系统（合肥）有限公司</w:t>
      </w:r>
    </w:p>
    <w:p>
      <w:pPr>
        <w:rPr>
          <w:sz w:val="36"/>
          <w:szCs w:val="36"/>
          <w:lang w:eastAsia="zh-CN"/>
        </w:rPr>
      </w:pPr>
      <w:r>
        <w:rPr>
          <w:rFonts w:hint="eastAsia"/>
          <w:sz w:val="36"/>
          <w:szCs w:val="36"/>
          <w:lang w:eastAsia="zh-CN"/>
        </w:rPr>
        <w:t>编制日期：</w:t>
      </w:r>
      <w:r>
        <w:rPr>
          <w:spacing w:val="9"/>
          <w:sz w:val="36"/>
          <w:szCs w:val="36"/>
          <w:u w:val="single"/>
          <w:lang w:eastAsia="zh-CN"/>
        </w:rPr>
        <w:t xml:space="preserve">  </w:t>
      </w:r>
      <w:r>
        <w:rPr>
          <w:rFonts w:hint="eastAsia"/>
          <w:spacing w:val="9"/>
          <w:sz w:val="36"/>
          <w:szCs w:val="36"/>
          <w:u w:val="single"/>
          <w:lang w:eastAsia="zh-CN"/>
        </w:rPr>
        <w:t xml:space="preserve">  </w:t>
      </w:r>
      <w:r>
        <w:rPr>
          <w:spacing w:val="9"/>
          <w:sz w:val="36"/>
          <w:szCs w:val="36"/>
          <w:u w:val="single"/>
          <w:lang w:eastAsia="zh-CN"/>
        </w:rPr>
        <w:t xml:space="preserve">  </w:t>
      </w:r>
      <w:r>
        <w:rPr>
          <w:rFonts w:hint="eastAsia"/>
          <w:spacing w:val="9"/>
          <w:sz w:val="36"/>
          <w:szCs w:val="36"/>
          <w:u w:val="single"/>
          <w:lang w:eastAsia="zh-CN"/>
        </w:rPr>
        <w:t xml:space="preserve">  </w:t>
      </w:r>
      <w:r>
        <w:rPr>
          <w:spacing w:val="9"/>
          <w:sz w:val="36"/>
          <w:szCs w:val="36"/>
          <w:u w:val="single"/>
          <w:lang w:eastAsia="zh-CN"/>
        </w:rPr>
        <w:t xml:space="preserve">   </w:t>
      </w:r>
      <w:r>
        <w:rPr>
          <w:rFonts w:hint="eastAsia"/>
          <w:spacing w:val="9"/>
          <w:sz w:val="36"/>
          <w:szCs w:val="36"/>
          <w:u w:val="single"/>
          <w:lang w:eastAsia="zh-CN"/>
        </w:rPr>
        <w:t xml:space="preserve"> </w:t>
      </w:r>
      <w:r>
        <w:rPr>
          <w:spacing w:val="9"/>
          <w:sz w:val="36"/>
          <w:szCs w:val="36"/>
          <w:u w:val="single"/>
          <w:lang w:eastAsia="zh-CN"/>
        </w:rPr>
        <w:t xml:space="preserve">  </w:t>
      </w:r>
      <w:r>
        <w:rPr>
          <w:rFonts w:hint="eastAsia"/>
          <w:spacing w:val="-8"/>
          <w:sz w:val="36"/>
          <w:szCs w:val="36"/>
          <w:u w:val="single"/>
          <w:lang w:eastAsia="zh-CN"/>
        </w:rPr>
        <w:t>20</w:t>
      </w:r>
      <w:r>
        <w:rPr>
          <w:rFonts w:hint="eastAsia"/>
          <w:spacing w:val="-8"/>
          <w:sz w:val="36"/>
          <w:szCs w:val="36"/>
          <w:highlight w:val="none"/>
          <w:u w:val="single"/>
          <w:lang w:eastAsia="zh-CN"/>
        </w:rPr>
        <w:t>26</w:t>
      </w:r>
      <w:r>
        <w:rPr>
          <w:rFonts w:hint="eastAsia"/>
          <w:spacing w:val="-8"/>
          <w:sz w:val="36"/>
          <w:szCs w:val="36"/>
          <w:highlight w:val="none"/>
          <w:u w:val="single"/>
          <w:lang w:val="en-US" w:eastAsia="zh-CN"/>
        </w:rPr>
        <w:t>年3月</w:t>
      </w:r>
      <w:r>
        <w:rPr>
          <w:sz w:val="36"/>
          <w:szCs w:val="36"/>
          <w:u w:val="single"/>
          <w:lang w:eastAsia="zh-CN"/>
        </w:rPr>
        <w:t xml:space="preserve">        </w:t>
      </w:r>
      <w:r>
        <w:rPr>
          <w:rFonts w:hint="eastAsia"/>
          <w:sz w:val="36"/>
          <w:szCs w:val="36"/>
          <w:u w:val="single"/>
          <w:lang w:eastAsia="zh-CN"/>
        </w:rPr>
        <w:t xml:space="preserve">    </w:t>
      </w:r>
      <w:r>
        <w:rPr>
          <w:sz w:val="36"/>
          <w:szCs w:val="36"/>
          <w:u w:val="single"/>
          <w:lang w:eastAsia="zh-CN"/>
        </w:rPr>
        <w:t xml:space="preserve">  </w:t>
      </w:r>
    </w:p>
    <w:p>
      <w:pPr>
        <w:rPr>
          <w:sz w:val="36"/>
          <w:szCs w:val="36"/>
          <w:lang w:eastAsia="zh-CN"/>
        </w:rPr>
      </w:pPr>
    </w:p>
    <w:p>
      <w:pPr>
        <w:rPr>
          <w:sz w:val="36"/>
          <w:szCs w:val="36"/>
          <w:lang w:eastAsia="zh-CN"/>
        </w:rPr>
      </w:pPr>
    </w:p>
    <w:p>
      <w:pPr>
        <w:rPr>
          <w:sz w:val="36"/>
          <w:szCs w:val="36"/>
          <w:lang w:eastAsia="zh-CN"/>
        </w:rPr>
      </w:pPr>
    </w:p>
    <w:p>
      <w:pPr>
        <w:rPr>
          <w:sz w:val="36"/>
          <w:szCs w:val="36"/>
          <w:lang w:eastAsia="zh-CN"/>
        </w:rPr>
      </w:pPr>
    </w:p>
    <w:p>
      <w:pPr>
        <w:jc w:val="center"/>
        <w:rPr>
          <w:rFonts w:hint="eastAsia" w:ascii="楷体" w:hAnsi="楷体" w:eastAsia="楷体" w:cs="楷体"/>
          <w:sz w:val="36"/>
          <w:szCs w:val="36"/>
          <w:lang w:eastAsia="zh-CN"/>
        </w:rPr>
      </w:pPr>
      <w:r>
        <w:rPr>
          <w:rFonts w:hint="eastAsia" w:ascii="楷体" w:hAnsi="楷体" w:eastAsia="楷体" w:cs="楷体"/>
          <w:sz w:val="36"/>
          <w:szCs w:val="36"/>
          <w:lang w:eastAsia="zh-CN"/>
        </w:rPr>
        <w:t>中华人民共和国生态环境部制</w:t>
      </w:r>
    </w:p>
    <w:p>
      <w:pPr>
        <w:jc w:val="center"/>
        <w:rPr>
          <w:rFonts w:hint="eastAsia" w:ascii="楷体" w:hAnsi="楷体" w:eastAsia="楷体" w:cs="楷体"/>
          <w:sz w:val="36"/>
          <w:szCs w:val="36"/>
          <w:lang w:eastAsia="zh-CN"/>
        </w:rPr>
        <w:sectPr>
          <w:pgSz w:w="11906" w:h="16838"/>
          <w:pgMar w:top="1701" w:right="1531" w:bottom="1701" w:left="1531" w:header="851" w:footer="992" w:gutter="0"/>
          <w:cols w:space="425" w:num="1"/>
          <w:docGrid w:type="lines" w:linePitch="312" w:charSpace="0"/>
        </w:sectPr>
      </w:pPr>
    </w:p>
    <w:p>
      <w:pPr>
        <w:jc w:val="center"/>
        <w:outlineLvl w:val="0"/>
        <w:rPr>
          <w:b/>
          <w:bCs/>
          <w:sz w:val="30"/>
          <w:szCs w:val="30"/>
        </w:rPr>
      </w:pPr>
      <w:r>
        <w:rPr>
          <w:b/>
          <w:bCs/>
          <w:sz w:val="30"/>
          <w:szCs w:val="30"/>
        </w:rPr>
        <w:t>一、建设项目基本情况</w:t>
      </w:r>
    </w:p>
    <w:tbl>
      <w:tblPr>
        <w:tblStyle w:val="21"/>
        <w:tblW w:w="8874"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01"/>
        <w:gridCol w:w="2761"/>
        <w:gridCol w:w="2024"/>
        <w:gridCol w:w="308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7" w:hRule="atLeast"/>
          <w:jc w:val="center"/>
        </w:trPr>
        <w:tc>
          <w:tcPr>
            <w:tcW w:w="1001" w:type="dxa"/>
            <w:tcBorders>
              <w:top w:val="single" w:color="000000" w:sz="6" w:space="0"/>
              <w:left w:val="single" w:color="000000" w:sz="6" w:space="0"/>
            </w:tcBorders>
            <w:vAlign w:val="center"/>
          </w:tcPr>
          <w:p>
            <w:pPr>
              <w:spacing w:line="240" w:lineRule="auto"/>
              <w:jc w:val="center"/>
              <w:rPr>
                <w:highlight w:val="none"/>
              </w:rPr>
            </w:pPr>
            <w:r>
              <w:rPr>
                <w:highlight w:val="none"/>
              </w:rPr>
              <w:t>建设项目名称</w:t>
            </w:r>
          </w:p>
        </w:tc>
        <w:tc>
          <w:tcPr>
            <w:tcW w:w="7873" w:type="dxa"/>
            <w:gridSpan w:val="3"/>
            <w:tcBorders>
              <w:top w:val="single" w:color="000000" w:sz="6" w:space="0"/>
              <w:right w:val="single" w:color="000000" w:sz="6" w:space="0"/>
            </w:tcBorders>
            <w:vAlign w:val="center"/>
          </w:tcPr>
          <w:p>
            <w:pPr>
              <w:spacing w:line="240" w:lineRule="auto"/>
              <w:jc w:val="center"/>
              <w:rPr>
                <w:highlight w:val="none"/>
                <w:lang w:eastAsia="zh-CN"/>
              </w:rPr>
            </w:pPr>
            <w:r>
              <w:rPr>
                <w:rFonts w:hint="eastAsia"/>
                <w:highlight w:val="none"/>
                <w:lang w:eastAsia="zh-CN"/>
              </w:rPr>
              <w:t>马瑞利动力系统(合肥)有限公司年产100万件驻车执行器项</w:t>
            </w:r>
            <w:r>
              <w:rPr>
                <w:highlight w:val="none"/>
                <w:lang w:eastAsia="zh-CN"/>
              </w:rPr>
              <w:t>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7"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项目代码</w:t>
            </w:r>
          </w:p>
        </w:tc>
        <w:tc>
          <w:tcPr>
            <w:tcW w:w="7873" w:type="dxa"/>
            <w:gridSpan w:val="3"/>
            <w:tcBorders>
              <w:right w:val="single" w:color="000000" w:sz="6" w:space="0"/>
            </w:tcBorders>
            <w:vAlign w:val="center"/>
          </w:tcPr>
          <w:p>
            <w:pPr>
              <w:spacing w:line="240" w:lineRule="auto"/>
              <w:jc w:val="center"/>
              <w:rPr>
                <w:highlight w:val="none"/>
              </w:rPr>
            </w:pPr>
            <w:r>
              <w:rPr>
                <w:rFonts w:hint="eastAsia"/>
                <w:highlight w:val="none"/>
              </w:rPr>
              <w:t>2512-340161-04-05-589093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建设单位联系人</w:t>
            </w:r>
          </w:p>
        </w:tc>
        <w:tc>
          <w:tcPr>
            <w:tcW w:w="2761" w:type="dxa"/>
            <w:vAlign w:val="center"/>
          </w:tcPr>
          <w:p>
            <w:pPr>
              <w:spacing w:line="240" w:lineRule="auto"/>
              <w:jc w:val="center"/>
              <w:rPr>
                <w:highlight w:val="none"/>
              </w:rPr>
            </w:pPr>
            <w:r>
              <w:rPr>
                <w:highlight w:val="none"/>
              </w:rPr>
              <w:t>方欢</w:t>
            </w:r>
          </w:p>
        </w:tc>
        <w:tc>
          <w:tcPr>
            <w:tcW w:w="2024" w:type="dxa"/>
            <w:vAlign w:val="center"/>
          </w:tcPr>
          <w:p>
            <w:pPr>
              <w:spacing w:line="240" w:lineRule="auto"/>
              <w:jc w:val="center"/>
              <w:rPr>
                <w:highlight w:val="none"/>
              </w:rPr>
            </w:pPr>
            <w:r>
              <w:rPr>
                <w:highlight w:val="none"/>
              </w:rPr>
              <w:t>联系方式</w:t>
            </w:r>
          </w:p>
        </w:tc>
        <w:tc>
          <w:tcPr>
            <w:tcW w:w="3088" w:type="dxa"/>
            <w:tcBorders>
              <w:right w:val="single" w:color="000000" w:sz="6" w:space="0"/>
            </w:tcBorders>
            <w:vAlign w:val="center"/>
          </w:tcPr>
          <w:p>
            <w:pPr>
              <w:spacing w:line="240" w:lineRule="auto"/>
              <w:jc w:val="center"/>
              <w:rPr>
                <w:highlight w:val="none"/>
              </w:rPr>
            </w:pPr>
            <w:r>
              <w:rPr>
                <w:highlight w:val="none"/>
              </w:rPr>
              <w:t>18297775280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2"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建设地点</w:t>
            </w:r>
          </w:p>
        </w:tc>
        <w:tc>
          <w:tcPr>
            <w:tcW w:w="7873" w:type="dxa"/>
            <w:gridSpan w:val="3"/>
            <w:tcBorders>
              <w:right w:val="single" w:color="000000" w:sz="6" w:space="0"/>
            </w:tcBorders>
            <w:vAlign w:val="center"/>
          </w:tcPr>
          <w:p>
            <w:pPr>
              <w:spacing w:line="240" w:lineRule="auto"/>
              <w:jc w:val="center"/>
              <w:rPr>
                <w:highlight w:val="none"/>
                <w:lang w:eastAsia="zh-CN"/>
              </w:rPr>
            </w:pPr>
            <w:r>
              <w:rPr>
                <w:highlight w:val="none"/>
                <w:lang w:eastAsia="zh-CN"/>
              </w:rPr>
              <w:t>合肥高新区柏堰科技园宁西路108号马瑞利动力系统（合肥）有限公司厂区内</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7"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地理坐标</w:t>
            </w:r>
          </w:p>
        </w:tc>
        <w:tc>
          <w:tcPr>
            <w:tcW w:w="7873" w:type="dxa"/>
            <w:gridSpan w:val="3"/>
            <w:tcBorders>
              <w:right w:val="single" w:color="000000" w:sz="6" w:space="0"/>
            </w:tcBorders>
            <w:vAlign w:val="center"/>
          </w:tcPr>
          <w:p>
            <w:pPr>
              <w:spacing w:line="240" w:lineRule="auto"/>
              <w:jc w:val="center"/>
              <w:rPr>
                <w:highlight w:val="none"/>
                <w:lang w:eastAsia="zh-CN"/>
              </w:rPr>
            </w:pPr>
            <w:r>
              <w:rPr>
                <w:color w:val="auto"/>
                <w:highlight w:val="none"/>
                <w:lang w:eastAsia="zh-CN"/>
              </w:rPr>
              <w:t>经度：117 度 8 分 8.702 秒，纬度：31 度 47 分 30.905 秒</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52"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国民经济行业类别</w:t>
            </w:r>
          </w:p>
        </w:tc>
        <w:tc>
          <w:tcPr>
            <w:tcW w:w="2761" w:type="dxa"/>
            <w:vAlign w:val="center"/>
          </w:tcPr>
          <w:p>
            <w:pPr>
              <w:spacing w:line="240" w:lineRule="auto"/>
              <w:jc w:val="center"/>
              <w:rPr>
                <w:highlight w:val="none"/>
                <w:lang w:eastAsia="zh-CN"/>
              </w:rPr>
            </w:pPr>
            <w:r>
              <w:rPr>
                <w:highlight w:val="none"/>
                <w:lang w:eastAsia="zh-CN"/>
              </w:rPr>
              <w:t>C3670 汽车零部件及配件</w:t>
            </w:r>
          </w:p>
          <w:p>
            <w:pPr>
              <w:spacing w:line="240" w:lineRule="auto"/>
              <w:jc w:val="center"/>
              <w:rPr>
                <w:highlight w:val="none"/>
                <w:lang w:eastAsia="zh-CN"/>
              </w:rPr>
            </w:pPr>
            <w:r>
              <w:rPr>
                <w:highlight w:val="none"/>
                <w:lang w:eastAsia="zh-CN"/>
              </w:rPr>
              <w:t>制造</w:t>
            </w:r>
          </w:p>
        </w:tc>
        <w:tc>
          <w:tcPr>
            <w:tcW w:w="2024" w:type="dxa"/>
            <w:vAlign w:val="center"/>
          </w:tcPr>
          <w:p>
            <w:pPr>
              <w:spacing w:line="240" w:lineRule="auto"/>
              <w:jc w:val="center"/>
              <w:rPr>
                <w:highlight w:val="none"/>
              </w:rPr>
            </w:pPr>
            <w:r>
              <w:rPr>
                <w:highlight w:val="none"/>
              </w:rPr>
              <w:t>建设项目行业类别</w:t>
            </w:r>
          </w:p>
        </w:tc>
        <w:tc>
          <w:tcPr>
            <w:tcW w:w="3088" w:type="dxa"/>
            <w:tcBorders>
              <w:right w:val="single" w:color="000000" w:sz="6" w:space="0"/>
            </w:tcBorders>
            <w:vAlign w:val="center"/>
          </w:tcPr>
          <w:p>
            <w:pPr>
              <w:spacing w:line="240" w:lineRule="auto"/>
              <w:jc w:val="center"/>
              <w:rPr>
                <w:highlight w:val="none"/>
                <w:lang w:eastAsia="zh-CN"/>
              </w:rPr>
            </w:pPr>
            <w:r>
              <w:rPr>
                <w:highlight w:val="none"/>
                <w:lang w:eastAsia="zh-CN"/>
              </w:rPr>
              <w:t>三十三、汽车制造业 36 71 汽车零部件及配件制造 367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5"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建设性质</w:t>
            </w:r>
          </w:p>
        </w:tc>
        <w:tc>
          <w:tcPr>
            <w:tcW w:w="2761" w:type="dxa"/>
            <w:vAlign w:val="center"/>
          </w:tcPr>
          <w:p>
            <w:pPr>
              <w:spacing w:line="240" w:lineRule="auto"/>
              <w:ind w:left="120" w:leftChars="50"/>
              <w:rPr>
                <w:highlight w:val="none"/>
                <w:lang w:eastAsia="zh-CN"/>
              </w:rPr>
            </w:pPr>
            <w:r>
              <w:rPr>
                <w:rFonts w:hint="eastAsia"/>
                <w:highlight w:val="none"/>
                <w:lang w:eastAsia="zh-CN"/>
              </w:rPr>
              <w:t>□</w:t>
            </w:r>
            <w:r>
              <w:rPr>
                <w:highlight w:val="none"/>
                <w:lang w:eastAsia="zh-CN"/>
              </w:rPr>
              <w:t>新建（迁建）</w:t>
            </w:r>
          </w:p>
          <w:p>
            <w:pPr>
              <w:spacing w:line="240" w:lineRule="auto"/>
              <w:ind w:left="120" w:leftChars="50"/>
              <w:rPr>
                <w:highlight w:val="none"/>
                <w:lang w:eastAsia="zh-CN"/>
              </w:rPr>
            </w:pPr>
            <w:r>
              <w:rPr>
                <w:rFonts w:hint="eastAsia"/>
                <w:highlight w:val="none"/>
                <w:lang w:eastAsia="zh-CN"/>
              </w:rPr>
              <w:t>□</w:t>
            </w:r>
            <w:r>
              <w:rPr>
                <w:highlight w:val="none"/>
                <w:lang w:eastAsia="zh-CN"/>
              </w:rPr>
              <w:t>改建</w:t>
            </w:r>
          </w:p>
          <w:p>
            <w:pPr>
              <w:spacing w:line="240" w:lineRule="auto"/>
              <w:ind w:left="120" w:leftChars="50"/>
              <w:rPr>
                <w:highlight w:val="none"/>
                <w:lang w:eastAsia="zh-CN"/>
              </w:rPr>
            </w:pPr>
            <w:r>
              <w:rPr>
                <w:rFonts w:hint="eastAsia"/>
                <w:highlight w:val="none"/>
                <w:lang w:eastAsia="zh-CN"/>
              </w:rPr>
              <w:t>☑</w:t>
            </w:r>
            <w:r>
              <w:rPr>
                <w:highlight w:val="none"/>
                <w:lang w:eastAsia="zh-CN"/>
              </w:rPr>
              <w:t>扩建</w:t>
            </w:r>
          </w:p>
          <w:p>
            <w:pPr>
              <w:spacing w:line="240" w:lineRule="auto"/>
              <w:ind w:left="120" w:leftChars="50"/>
              <w:rPr>
                <w:highlight w:val="none"/>
              </w:rPr>
            </w:pPr>
            <w:r>
              <w:rPr>
                <w:rFonts w:hint="eastAsia"/>
                <w:highlight w:val="none"/>
                <w:lang w:eastAsia="zh-CN"/>
              </w:rPr>
              <w:t>□</w:t>
            </w:r>
            <w:r>
              <w:rPr>
                <w:highlight w:val="none"/>
              </w:rPr>
              <w:t>技术改造</w:t>
            </w:r>
          </w:p>
        </w:tc>
        <w:tc>
          <w:tcPr>
            <w:tcW w:w="2024" w:type="dxa"/>
            <w:vAlign w:val="center"/>
          </w:tcPr>
          <w:p>
            <w:pPr>
              <w:spacing w:line="240" w:lineRule="auto"/>
              <w:jc w:val="center"/>
              <w:rPr>
                <w:highlight w:val="none"/>
              </w:rPr>
            </w:pPr>
            <w:r>
              <w:rPr>
                <w:highlight w:val="none"/>
              </w:rPr>
              <w:t>建设项目申报情形</w:t>
            </w:r>
          </w:p>
        </w:tc>
        <w:tc>
          <w:tcPr>
            <w:tcW w:w="3088" w:type="dxa"/>
            <w:tcBorders>
              <w:right w:val="single" w:color="000000" w:sz="6" w:space="0"/>
            </w:tcBorders>
            <w:vAlign w:val="center"/>
          </w:tcPr>
          <w:p>
            <w:pPr>
              <w:spacing w:line="240" w:lineRule="auto"/>
              <w:ind w:left="120" w:leftChars="50"/>
              <w:rPr>
                <w:highlight w:val="none"/>
                <w:lang w:eastAsia="zh-CN"/>
              </w:rPr>
            </w:pPr>
            <w:r>
              <w:rPr>
                <w:rFonts w:hint="eastAsia"/>
                <w:highlight w:val="none"/>
                <w:lang w:eastAsia="zh-CN"/>
              </w:rPr>
              <w:t>☑</w:t>
            </w:r>
            <w:r>
              <w:rPr>
                <w:highlight w:val="none"/>
                <w:lang w:eastAsia="zh-CN"/>
              </w:rPr>
              <w:t>首次申报项目</w:t>
            </w:r>
          </w:p>
          <w:p>
            <w:pPr>
              <w:spacing w:line="240" w:lineRule="auto"/>
              <w:ind w:left="120" w:leftChars="50"/>
              <w:rPr>
                <w:highlight w:val="none"/>
                <w:lang w:eastAsia="zh-CN"/>
              </w:rPr>
            </w:pPr>
            <w:r>
              <w:rPr>
                <w:rFonts w:hint="eastAsia"/>
                <w:highlight w:val="none"/>
                <w:lang w:eastAsia="zh-CN"/>
              </w:rPr>
              <w:t>□</w:t>
            </w:r>
            <w:r>
              <w:rPr>
                <w:highlight w:val="none"/>
                <w:lang w:eastAsia="zh-CN"/>
              </w:rPr>
              <w:t>不予批准后再次申报项目</w:t>
            </w:r>
          </w:p>
          <w:p>
            <w:pPr>
              <w:spacing w:line="240" w:lineRule="auto"/>
              <w:ind w:left="120" w:leftChars="50"/>
              <w:rPr>
                <w:highlight w:val="none"/>
                <w:lang w:eastAsia="zh-CN"/>
              </w:rPr>
            </w:pPr>
            <w:r>
              <w:rPr>
                <w:rFonts w:hint="eastAsia"/>
                <w:highlight w:val="none"/>
                <w:lang w:eastAsia="zh-CN"/>
              </w:rPr>
              <w:t>□</w:t>
            </w:r>
            <w:r>
              <w:rPr>
                <w:highlight w:val="none"/>
                <w:lang w:eastAsia="zh-CN"/>
              </w:rPr>
              <w:t>超五年重新审核项目</w:t>
            </w:r>
          </w:p>
          <w:p>
            <w:pPr>
              <w:spacing w:line="240" w:lineRule="auto"/>
              <w:ind w:left="120" w:leftChars="50"/>
              <w:rPr>
                <w:highlight w:val="none"/>
                <w:lang w:eastAsia="zh-CN"/>
              </w:rPr>
            </w:pPr>
            <w:r>
              <w:rPr>
                <w:rFonts w:hint="eastAsia"/>
                <w:highlight w:val="none"/>
                <w:lang w:eastAsia="zh-CN"/>
              </w:rPr>
              <w:t>□</w:t>
            </w:r>
            <w:r>
              <w:rPr>
                <w:highlight w:val="none"/>
                <w:lang w:eastAsia="zh-CN"/>
              </w:rPr>
              <w:t>重大变动重新报批项目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5" w:hRule="atLeast"/>
          <w:jc w:val="center"/>
        </w:trPr>
        <w:tc>
          <w:tcPr>
            <w:tcW w:w="1001" w:type="dxa"/>
            <w:tcBorders>
              <w:left w:val="single" w:color="000000" w:sz="6" w:space="0"/>
            </w:tcBorders>
            <w:vAlign w:val="center"/>
          </w:tcPr>
          <w:p>
            <w:pPr>
              <w:spacing w:line="240" w:lineRule="auto"/>
              <w:jc w:val="center"/>
              <w:rPr>
                <w:highlight w:val="none"/>
                <w:lang w:eastAsia="zh-CN"/>
              </w:rPr>
            </w:pPr>
            <w:r>
              <w:rPr>
                <w:highlight w:val="none"/>
                <w:lang w:eastAsia="zh-CN"/>
              </w:rPr>
              <w:t>项目审批（核准/备案）部门（选填）</w:t>
            </w:r>
          </w:p>
        </w:tc>
        <w:tc>
          <w:tcPr>
            <w:tcW w:w="2761" w:type="dxa"/>
            <w:vAlign w:val="center"/>
          </w:tcPr>
          <w:p>
            <w:pPr>
              <w:spacing w:line="240" w:lineRule="auto"/>
              <w:jc w:val="center"/>
              <w:rPr>
                <w:highlight w:val="none"/>
              </w:rPr>
            </w:pPr>
            <w:r>
              <w:rPr>
                <w:highlight w:val="none"/>
              </w:rPr>
              <w:t>合肥高新区经发局</w:t>
            </w:r>
          </w:p>
        </w:tc>
        <w:tc>
          <w:tcPr>
            <w:tcW w:w="2024" w:type="dxa"/>
            <w:vAlign w:val="center"/>
          </w:tcPr>
          <w:p>
            <w:pPr>
              <w:spacing w:line="240" w:lineRule="auto"/>
              <w:jc w:val="center"/>
              <w:rPr>
                <w:highlight w:val="none"/>
                <w:lang w:eastAsia="zh-CN"/>
              </w:rPr>
            </w:pPr>
            <w:r>
              <w:rPr>
                <w:highlight w:val="none"/>
                <w:lang w:eastAsia="zh-CN"/>
              </w:rPr>
              <w:t>项目审批（核准/备案）文号（选填）</w:t>
            </w:r>
          </w:p>
        </w:tc>
        <w:tc>
          <w:tcPr>
            <w:tcW w:w="3088" w:type="dxa"/>
            <w:tcBorders>
              <w:right w:val="single" w:color="000000" w:sz="6" w:space="0"/>
            </w:tcBorders>
            <w:vAlign w:val="center"/>
          </w:tcPr>
          <w:p>
            <w:pPr>
              <w:spacing w:line="240" w:lineRule="auto"/>
              <w:jc w:val="center"/>
              <w:rPr>
                <w:highlight w:val="none"/>
              </w:rPr>
            </w:pPr>
            <w:r>
              <w:rPr>
                <w:highlight w:val="none"/>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总投资（万元）</w:t>
            </w:r>
          </w:p>
        </w:tc>
        <w:tc>
          <w:tcPr>
            <w:tcW w:w="2761" w:type="dxa"/>
            <w:vAlign w:val="center"/>
          </w:tcPr>
          <w:p>
            <w:pPr>
              <w:spacing w:line="240" w:lineRule="auto"/>
              <w:jc w:val="center"/>
              <w:rPr>
                <w:highlight w:val="none"/>
              </w:rPr>
            </w:pPr>
            <w:r>
              <w:rPr>
                <w:rFonts w:hint="eastAsia"/>
                <w:highlight w:val="none"/>
                <w:lang w:eastAsia="zh-CN"/>
              </w:rPr>
              <w:t>18</w:t>
            </w:r>
            <w:r>
              <w:rPr>
                <w:highlight w:val="none"/>
              </w:rPr>
              <w:t>00</w:t>
            </w:r>
          </w:p>
        </w:tc>
        <w:tc>
          <w:tcPr>
            <w:tcW w:w="2024" w:type="dxa"/>
            <w:vAlign w:val="center"/>
          </w:tcPr>
          <w:p>
            <w:pPr>
              <w:spacing w:line="240" w:lineRule="auto"/>
              <w:jc w:val="center"/>
              <w:rPr>
                <w:highlight w:val="none"/>
              </w:rPr>
            </w:pPr>
            <w:r>
              <w:rPr>
                <w:highlight w:val="none"/>
              </w:rPr>
              <w:t>环保投资（万元）</w:t>
            </w:r>
          </w:p>
        </w:tc>
        <w:tc>
          <w:tcPr>
            <w:tcW w:w="3088" w:type="dxa"/>
            <w:tcBorders>
              <w:right w:val="single" w:color="000000" w:sz="6" w:space="0"/>
            </w:tcBorders>
            <w:vAlign w:val="center"/>
          </w:tcPr>
          <w:p>
            <w:pPr>
              <w:spacing w:line="240" w:lineRule="auto"/>
              <w:jc w:val="center"/>
              <w:rPr>
                <w:highlight w:val="none"/>
              </w:rPr>
            </w:pPr>
            <w:r>
              <w:rPr>
                <w:rFonts w:hint="eastAsia"/>
                <w:color w:val="auto"/>
                <w:highlight w:val="none"/>
                <w:lang w:eastAsia="zh-CN"/>
              </w:rPr>
              <w:t>2</w:t>
            </w:r>
            <w:r>
              <w:rPr>
                <w:color w:val="auto"/>
                <w:highlight w:val="none"/>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2"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环保投资占比（%）</w:t>
            </w:r>
          </w:p>
        </w:tc>
        <w:tc>
          <w:tcPr>
            <w:tcW w:w="2761" w:type="dxa"/>
            <w:vAlign w:val="center"/>
          </w:tcPr>
          <w:p>
            <w:pPr>
              <w:spacing w:line="240" w:lineRule="auto"/>
              <w:jc w:val="center"/>
              <w:rPr>
                <w:highlight w:val="none"/>
                <w:lang w:eastAsia="zh-CN"/>
              </w:rPr>
            </w:pPr>
            <w:r>
              <w:rPr>
                <w:rFonts w:hint="eastAsia"/>
                <w:color w:val="auto"/>
                <w:highlight w:val="none"/>
                <w:lang w:eastAsia="zh-CN"/>
              </w:rPr>
              <w:t>1.11</w:t>
            </w:r>
          </w:p>
        </w:tc>
        <w:tc>
          <w:tcPr>
            <w:tcW w:w="2024" w:type="dxa"/>
            <w:vAlign w:val="center"/>
          </w:tcPr>
          <w:p>
            <w:pPr>
              <w:spacing w:line="240" w:lineRule="auto"/>
              <w:jc w:val="center"/>
              <w:rPr>
                <w:highlight w:val="none"/>
              </w:rPr>
            </w:pPr>
            <w:r>
              <w:rPr>
                <w:highlight w:val="none"/>
              </w:rPr>
              <w:t>施工工期</w:t>
            </w:r>
          </w:p>
        </w:tc>
        <w:tc>
          <w:tcPr>
            <w:tcW w:w="3088" w:type="dxa"/>
            <w:tcBorders>
              <w:right w:val="single" w:color="000000" w:sz="6" w:space="0"/>
            </w:tcBorders>
            <w:vAlign w:val="center"/>
          </w:tcPr>
          <w:p>
            <w:pPr>
              <w:spacing w:line="240" w:lineRule="auto"/>
              <w:jc w:val="center"/>
              <w:rPr>
                <w:highlight w:val="none"/>
              </w:rPr>
            </w:pPr>
            <w:r>
              <w:rPr>
                <w:highlight w:val="none"/>
              </w:rPr>
              <w:t>3个月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3"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是否开工建设</w:t>
            </w:r>
          </w:p>
        </w:tc>
        <w:tc>
          <w:tcPr>
            <w:tcW w:w="2761" w:type="dxa"/>
            <w:vAlign w:val="center"/>
          </w:tcPr>
          <w:p>
            <w:pPr>
              <w:spacing w:line="240" w:lineRule="auto"/>
              <w:ind w:left="120" w:leftChars="50"/>
              <w:rPr>
                <w:highlight w:val="none"/>
              </w:rPr>
            </w:pPr>
            <w:r>
              <w:rPr>
                <w:rFonts w:hint="eastAsia"/>
                <w:highlight w:val="none"/>
                <w:lang w:eastAsia="zh-CN"/>
              </w:rPr>
              <w:t>☑</w:t>
            </w:r>
            <w:r>
              <w:rPr>
                <w:highlight w:val="none"/>
              </w:rPr>
              <w:t>否</w:t>
            </w:r>
          </w:p>
          <w:p>
            <w:pPr>
              <w:spacing w:line="240" w:lineRule="auto"/>
              <w:ind w:left="120" w:leftChars="50"/>
              <w:rPr>
                <w:highlight w:val="none"/>
              </w:rPr>
            </w:pPr>
            <w:r>
              <w:rPr>
                <w:rFonts w:hint="eastAsia"/>
                <w:highlight w:val="none"/>
                <w:lang w:eastAsia="zh-CN"/>
              </w:rPr>
              <w:t>□</w:t>
            </w:r>
            <w:r>
              <w:rPr>
                <w:highlight w:val="none"/>
              </w:rPr>
              <w:t>是：</w:t>
            </w:r>
          </w:p>
        </w:tc>
        <w:tc>
          <w:tcPr>
            <w:tcW w:w="2024" w:type="dxa"/>
            <w:vAlign w:val="center"/>
          </w:tcPr>
          <w:p>
            <w:pPr>
              <w:spacing w:line="240" w:lineRule="auto"/>
              <w:jc w:val="center"/>
              <w:rPr>
                <w:highlight w:val="none"/>
              </w:rPr>
            </w:pPr>
            <w:r>
              <w:rPr>
                <w:highlight w:val="none"/>
              </w:rPr>
              <w:t>用地面积（m</w:t>
            </w:r>
            <w:r>
              <w:rPr>
                <w:highlight w:val="none"/>
                <w:vertAlign w:val="superscript"/>
              </w:rPr>
              <w:t>2</w:t>
            </w:r>
            <w:r>
              <w:rPr>
                <w:highlight w:val="none"/>
              </w:rPr>
              <w:t>）</w:t>
            </w:r>
          </w:p>
        </w:tc>
        <w:tc>
          <w:tcPr>
            <w:tcW w:w="3088" w:type="dxa"/>
            <w:tcBorders>
              <w:right w:val="single" w:color="000000" w:sz="6" w:space="0"/>
            </w:tcBorders>
            <w:vAlign w:val="center"/>
          </w:tcPr>
          <w:p>
            <w:pPr>
              <w:spacing w:line="240" w:lineRule="auto"/>
              <w:jc w:val="center"/>
              <w:rPr>
                <w:highlight w:val="none"/>
                <w:lang w:eastAsia="zh-CN"/>
              </w:rPr>
            </w:pPr>
            <w:r>
              <w:rPr>
                <w:highlight w:val="none"/>
              </w:rPr>
              <w:t>29</w:t>
            </w:r>
            <w:r>
              <w:rPr>
                <w:rFonts w:hint="eastAsia"/>
                <w:highlight w:val="none"/>
                <w:lang w:eastAsia="zh-CN"/>
              </w:rPr>
              <w:t>1（依托现有空置区域）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专项评价设置情况</w:t>
            </w:r>
          </w:p>
        </w:tc>
        <w:tc>
          <w:tcPr>
            <w:tcW w:w="7873" w:type="dxa"/>
            <w:gridSpan w:val="3"/>
            <w:tcBorders>
              <w:right w:val="single" w:color="000000" w:sz="6" w:space="0"/>
            </w:tcBorders>
            <w:vAlign w:val="center"/>
          </w:tcPr>
          <w:p>
            <w:pPr>
              <w:spacing w:line="240" w:lineRule="auto"/>
              <w:jc w:val="center"/>
              <w:rPr>
                <w:highlight w:val="none"/>
              </w:rPr>
            </w:pPr>
            <w:r>
              <w:rPr>
                <w:highlight w:val="none"/>
              </w:rPr>
              <w:t>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71" w:hRule="atLeast"/>
          <w:jc w:val="center"/>
        </w:trPr>
        <w:tc>
          <w:tcPr>
            <w:tcW w:w="1001" w:type="dxa"/>
            <w:tcBorders>
              <w:left w:val="single" w:color="000000" w:sz="6" w:space="0"/>
            </w:tcBorders>
            <w:vAlign w:val="center"/>
          </w:tcPr>
          <w:p>
            <w:pPr>
              <w:spacing w:line="240" w:lineRule="auto"/>
              <w:jc w:val="center"/>
              <w:rPr>
                <w:highlight w:val="none"/>
              </w:rPr>
            </w:pPr>
            <w:r>
              <w:rPr>
                <w:highlight w:val="none"/>
              </w:rPr>
              <w:t>规划情况</w:t>
            </w:r>
          </w:p>
        </w:tc>
        <w:tc>
          <w:tcPr>
            <w:tcW w:w="7873" w:type="dxa"/>
            <w:gridSpan w:val="3"/>
            <w:tcBorders>
              <w:right w:val="single" w:color="000000" w:sz="6" w:space="0"/>
            </w:tcBorders>
            <w:vAlign w:val="center"/>
          </w:tcPr>
          <w:p>
            <w:pPr>
              <w:ind w:left="120" w:leftChars="50"/>
              <w:rPr>
                <w:highlight w:val="none"/>
                <w:lang w:eastAsia="zh-CN"/>
              </w:rPr>
            </w:pPr>
            <w:r>
              <w:rPr>
                <w:highlight w:val="none"/>
                <w:lang w:eastAsia="zh-CN"/>
              </w:rPr>
              <w:t>规划名称：《合肥市国土空间总体规划（2021-2035）》</w:t>
            </w:r>
          </w:p>
          <w:p>
            <w:pPr>
              <w:ind w:left="120" w:leftChars="50"/>
              <w:rPr>
                <w:highlight w:val="none"/>
                <w:lang w:eastAsia="zh-CN"/>
              </w:rPr>
            </w:pPr>
            <w:r>
              <w:rPr>
                <w:highlight w:val="none"/>
                <w:lang w:eastAsia="zh-CN"/>
              </w:rPr>
              <w:t>审批机关：国务院</w:t>
            </w:r>
          </w:p>
          <w:p>
            <w:pPr>
              <w:ind w:left="120" w:leftChars="50"/>
              <w:rPr>
                <w:highlight w:val="none"/>
                <w:lang w:eastAsia="zh-CN"/>
              </w:rPr>
            </w:pPr>
            <w:r>
              <w:rPr>
                <w:highlight w:val="none"/>
                <w:lang w:eastAsia="zh-CN"/>
              </w:rPr>
              <w:t>审批文件名称及文号：国务院关于《合肥市国土空间总体规划（2021-2035年）》的</w:t>
            </w:r>
            <w:r>
              <w:rPr>
                <w:rFonts w:hint="eastAsia"/>
                <w:highlight w:val="none"/>
                <w:lang w:eastAsia="zh-CN"/>
              </w:rPr>
              <w:t>批复</w:t>
            </w:r>
            <w:r>
              <w:rPr>
                <w:highlight w:val="none"/>
                <w:lang w:eastAsia="zh-CN"/>
              </w:rPr>
              <w:t>，国函﹝2024〕186号</w:t>
            </w:r>
          </w:p>
          <w:p>
            <w:pPr>
              <w:ind w:left="120" w:leftChars="50"/>
              <w:rPr>
                <w:highlight w:val="none"/>
                <w:lang w:eastAsia="zh-CN"/>
              </w:rPr>
            </w:pPr>
            <w:r>
              <w:rPr>
                <w:rFonts w:hint="eastAsia"/>
                <w:highlight w:val="none"/>
                <w:lang w:val="en-US" w:eastAsia="zh-CN"/>
              </w:rPr>
              <w:t>规划名称：</w:t>
            </w:r>
            <w:r>
              <w:rPr>
                <w:rFonts w:hint="eastAsia"/>
                <w:highlight w:val="none"/>
                <w:lang w:eastAsia="zh-CN"/>
              </w:rPr>
              <w:t>《合肥高新技术产业开发区总体规划》（20</w:t>
            </w:r>
            <w:r>
              <w:rPr>
                <w:rFonts w:hint="eastAsia"/>
                <w:highlight w:val="none"/>
                <w:lang w:val="en-US" w:eastAsia="zh-CN"/>
              </w:rPr>
              <w:t>06</w:t>
            </w:r>
            <w:r>
              <w:rPr>
                <w:rFonts w:hint="eastAsia"/>
                <w:highlight w:val="none"/>
                <w:lang w:eastAsia="zh-CN"/>
              </w:rPr>
              <w:t>-2020）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7" w:hRule="atLeast"/>
          <w:jc w:val="center"/>
        </w:trPr>
        <w:tc>
          <w:tcPr>
            <w:tcW w:w="1001" w:type="dxa"/>
            <w:tcBorders>
              <w:left w:val="single" w:color="000000" w:sz="6" w:space="0"/>
            </w:tcBorders>
            <w:vAlign w:val="center"/>
          </w:tcPr>
          <w:p>
            <w:pPr>
              <w:spacing w:line="240" w:lineRule="auto"/>
              <w:jc w:val="center"/>
              <w:rPr>
                <w:highlight w:val="none"/>
                <w:lang w:eastAsia="zh-CN"/>
              </w:rPr>
            </w:pPr>
            <w:r>
              <w:rPr>
                <w:highlight w:val="none"/>
                <w:lang w:eastAsia="zh-CN"/>
              </w:rPr>
              <w:t>规划环境影响评价情况</w:t>
            </w:r>
          </w:p>
        </w:tc>
        <w:tc>
          <w:tcPr>
            <w:tcW w:w="7873" w:type="dxa"/>
            <w:gridSpan w:val="3"/>
            <w:tcBorders>
              <w:right w:val="single" w:color="000000" w:sz="6" w:space="0"/>
            </w:tcBorders>
            <w:vAlign w:val="center"/>
          </w:tcPr>
          <w:p>
            <w:pPr>
              <w:ind w:left="120" w:leftChars="50"/>
              <w:rPr>
                <w:highlight w:val="none"/>
                <w:lang w:eastAsia="zh-CN"/>
              </w:rPr>
            </w:pPr>
            <w:r>
              <w:rPr>
                <w:highlight w:val="none"/>
                <w:lang w:eastAsia="zh-CN"/>
              </w:rPr>
              <w:t>1、规划环境影响评价文件名称：《合肥高新技术产业开发区规划环境影响报告书》；</w:t>
            </w:r>
          </w:p>
          <w:p>
            <w:pPr>
              <w:ind w:left="120" w:leftChars="50"/>
              <w:rPr>
                <w:highlight w:val="none"/>
                <w:lang w:eastAsia="zh-CN"/>
              </w:rPr>
            </w:pPr>
            <w:r>
              <w:rPr>
                <w:highlight w:val="none"/>
                <w:lang w:eastAsia="zh-CN"/>
              </w:rPr>
              <w:t>召集审查机关：原中华人民共和国环境保护部；</w:t>
            </w:r>
          </w:p>
          <w:p>
            <w:pPr>
              <w:ind w:left="120" w:leftChars="50"/>
              <w:rPr>
                <w:highlight w:val="none"/>
                <w:lang w:eastAsia="zh-CN"/>
              </w:rPr>
            </w:pPr>
            <w:r>
              <w:rPr>
                <w:highlight w:val="none"/>
                <w:lang w:eastAsia="zh-CN"/>
              </w:rPr>
              <w:t>审查文件名称及文号：《关于合肥高新技术产业开发区规划环境影响报告书的审查意见》（环审〔2008〕143号）。</w:t>
            </w:r>
          </w:p>
          <w:p>
            <w:pPr>
              <w:ind w:left="120" w:leftChars="50"/>
              <w:rPr>
                <w:highlight w:val="none"/>
                <w:lang w:eastAsia="zh-CN"/>
              </w:rPr>
            </w:pPr>
            <w:r>
              <w:rPr>
                <w:highlight w:val="none"/>
                <w:lang w:eastAsia="zh-CN"/>
              </w:rPr>
              <w:t>2、规划环境影响跟踪评价文件名称：《合肥高新技术产业开发区规划环境影响跟踪评价报告书》；</w:t>
            </w:r>
          </w:p>
          <w:p>
            <w:pPr>
              <w:ind w:left="120" w:leftChars="50"/>
              <w:rPr>
                <w:highlight w:val="none"/>
                <w:lang w:eastAsia="zh-CN"/>
              </w:rPr>
            </w:pPr>
            <w:r>
              <w:rPr>
                <w:highlight w:val="none"/>
                <w:lang w:eastAsia="zh-CN"/>
              </w:rPr>
              <w:t>审查机关：中华人民共和国生态环境部；</w:t>
            </w:r>
          </w:p>
          <w:p>
            <w:pPr>
              <w:ind w:left="120" w:leftChars="50"/>
              <w:rPr>
                <w:highlight w:val="none"/>
                <w:lang w:eastAsia="zh-CN"/>
              </w:rPr>
            </w:pPr>
            <w:r>
              <w:rPr>
                <w:highlight w:val="none"/>
                <w:lang w:eastAsia="zh-CN"/>
              </w:rPr>
              <w:t>审查文件名称及文号：《关于合肥高新技术产业开发区规划环境影响跟踪评价工作有关意见的函》（环办环评函﹝2020﹞436号）。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001" w:type="dxa"/>
            <w:tcBorders>
              <w:left w:val="single" w:color="000000" w:sz="6" w:space="0"/>
            </w:tcBorders>
            <w:vAlign w:val="center"/>
          </w:tcPr>
          <w:p>
            <w:pPr>
              <w:rPr>
                <w:highlight w:val="none"/>
                <w:lang w:eastAsia="zh-CN"/>
              </w:rPr>
            </w:pPr>
            <w:r>
              <w:rPr>
                <w:rFonts w:hint="eastAsia"/>
                <w:highlight w:val="none"/>
                <w:lang w:eastAsia="zh-CN"/>
              </w:rPr>
              <w:t>规划及规划环境影响评价符合性分析</w:t>
            </w:r>
          </w:p>
        </w:tc>
        <w:tc>
          <w:tcPr>
            <w:tcW w:w="7873" w:type="dxa"/>
            <w:gridSpan w:val="3"/>
            <w:tcBorders>
              <w:right w:val="single" w:color="000000" w:sz="6" w:space="0"/>
            </w:tcBorders>
            <w:vAlign w:val="center"/>
          </w:tcPr>
          <w:p>
            <w:pPr>
              <w:pStyle w:val="8"/>
              <w:ind w:left="120" w:leftChars="50" w:firstLine="482"/>
              <w:rPr>
                <w:b/>
                <w:bCs/>
                <w:color w:val="auto"/>
                <w:highlight w:val="none"/>
                <w:lang w:eastAsia="zh-CN"/>
              </w:rPr>
            </w:pPr>
            <w:r>
              <w:rPr>
                <w:rFonts w:hint="eastAsia"/>
                <w:b/>
                <w:bCs/>
                <w:color w:val="auto"/>
                <w:highlight w:val="none"/>
                <w:lang w:eastAsia="zh-CN"/>
              </w:rPr>
              <w:t>一、与规划符合性分析</w:t>
            </w:r>
          </w:p>
          <w:p>
            <w:pPr>
              <w:pStyle w:val="8"/>
              <w:ind w:left="120" w:leftChars="50" w:firstLine="482"/>
              <w:rPr>
                <w:b/>
                <w:bCs/>
                <w:highlight w:val="none"/>
                <w:lang w:eastAsia="zh-CN"/>
              </w:rPr>
            </w:pPr>
            <w:r>
              <w:rPr>
                <w:rFonts w:hint="eastAsia"/>
                <w:b/>
                <w:bCs/>
                <w:highlight w:val="none"/>
                <w:lang w:eastAsia="zh-CN"/>
              </w:rPr>
              <w:t>1、与《合肥市国土空间总体规划（2021-2035）》符合性分析</w:t>
            </w:r>
          </w:p>
          <w:p>
            <w:pPr>
              <w:pStyle w:val="8"/>
              <w:keepNext w:val="0"/>
              <w:keepLines w:val="0"/>
              <w:pageBreakBefore w:val="0"/>
              <w:widowControl/>
              <w:kinsoku/>
              <w:wordWrap/>
              <w:overflowPunct/>
              <w:topLinePunct w:val="0"/>
              <w:autoSpaceDE w:val="0"/>
              <w:autoSpaceDN w:val="0"/>
              <w:bidi w:val="0"/>
              <w:adjustRightInd w:val="0"/>
              <w:snapToGrid w:val="0"/>
              <w:ind w:left="120" w:leftChars="50" w:firstLine="480"/>
              <w:textAlignment w:val="baseline"/>
              <w:rPr>
                <w:highlight w:val="none"/>
                <w:lang w:eastAsia="zh-CN"/>
              </w:rPr>
            </w:pPr>
            <w:r>
              <w:rPr>
                <w:rFonts w:hint="eastAsia"/>
                <w:highlight w:val="none"/>
                <w:lang w:eastAsia="zh-CN"/>
              </w:rPr>
              <w:t>合肥是安徽省省会，长三角地区重要的中心城市，全国性综合交通枢纽城市。规划要求：“强化底线管控，构建国土空间开发保护新格局。在优先划定耕地和永久基本农田保护红线、生态保护红线的基础上，顺应自然地理格局，按照集约适度、绿色发展要求划定城镇开发边界。全市划定城镇开发边界面积1289.30平方千米，主要位于中心城区、县（市）城区、产业园区的镇区等。严控城镇建设用地总量，引导形成集约紧凑的城镇空间格局”。规划同时指出：“优化中心城区空间布局，提升城市宜居品质。按照主导功能，将城镇发展区和乡村发展区进一步细化至二级规划分区。其中，城镇发展区细化为居住生活区、综合服务区、商业商务区、工业发展区、物流仓储区、绿地休闲区、交通枢纽区，战略预留区、城镇弹性发展区、特别用途区，对城市功能的空间布局进行结构化控制；居住生活</w:t>
            </w:r>
            <w:r>
              <w:rPr>
                <w:rFonts w:hint="eastAsia"/>
                <w:highlight w:val="none"/>
                <w:lang w:val="en-US" w:eastAsia="zh-CN"/>
              </w:rPr>
              <w:t>区</w:t>
            </w:r>
            <w:r>
              <w:rPr>
                <w:rFonts w:hint="eastAsia"/>
                <w:highlight w:val="none"/>
                <w:lang w:eastAsia="zh-CN"/>
              </w:rPr>
              <w:t>以住宅建筑和居住配套设施为主要功能导向的区域，宜兼容布局相应的公共管理与公共服务用地、公用设施用地、商业服务业用地、绿地与开敞空间用地等”。</w:t>
            </w:r>
          </w:p>
          <w:p>
            <w:pPr>
              <w:pStyle w:val="8"/>
              <w:ind w:left="120" w:leftChars="50" w:firstLine="480"/>
              <w:rPr>
                <w:highlight w:val="none"/>
                <w:lang w:eastAsia="zh-CN"/>
              </w:rPr>
            </w:pPr>
            <w:r>
              <w:rPr>
                <w:rFonts w:hint="eastAsia"/>
                <w:highlight w:val="none"/>
                <w:lang w:eastAsia="zh-CN"/>
              </w:rPr>
              <w:t>本项目属于汽车零部件及配件制造，位于合肥高新区柏堰科技园宁西路108号马瑞利动力系统（合肥）有限公司厂区内。结合《合肥市国土空间总体规划（2021-2035）》市域三条控制线，项目选址位于城镇开发边界范围内，不涉及“三区三线”划定成果中的生态保护红线和永久基本农田。根据项目所土地证，本项目用地性质为工业用地，符合项目用地要求，符合区域空间用地布局的要求。</w:t>
            </w:r>
          </w:p>
          <w:p>
            <w:pPr>
              <w:pStyle w:val="8"/>
              <w:ind w:left="120" w:leftChars="50" w:firstLine="480"/>
              <w:rPr>
                <w:highlight w:val="none"/>
                <w:lang w:eastAsia="zh-CN"/>
              </w:rPr>
            </w:pPr>
            <w:r>
              <w:rPr>
                <w:rFonts w:hint="eastAsia"/>
                <w:highlight w:val="none"/>
                <w:lang w:eastAsia="zh-CN"/>
              </w:rPr>
              <w:t>综上，项目符合《合肥市国土空间总体规划（2021-2035）》的要求。</w:t>
            </w:r>
          </w:p>
          <w:p>
            <w:pPr>
              <w:pStyle w:val="8"/>
              <w:ind w:left="120" w:leftChars="50" w:firstLine="480"/>
              <w:rPr>
                <w:b/>
                <w:bCs/>
                <w:highlight w:val="none"/>
                <w:lang w:eastAsia="zh-CN"/>
              </w:rPr>
            </w:pPr>
            <w:r>
              <w:rPr>
                <w:rFonts w:hint="eastAsia"/>
                <w:b/>
                <w:bCs/>
                <w:highlight w:val="none"/>
                <w:lang w:eastAsia="zh-CN"/>
              </w:rPr>
              <w:t>2、与《合肥高新技术产业开发区总体规划》（20</w:t>
            </w:r>
            <w:r>
              <w:rPr>
                <w:rFonts w:hint="eastAsia"/>
                <w:b/>
                <w:bCs/>
                <w:highlight w:val="none"/>
                <w:lang w:val="en-US" w:eastAsia="zh-CN"/>
              </w:rPr>
              <w:t>0</w:t>
            </w:r>
            <w:r>
              <w:rPr>
                <w:rFonts w:hint="eastAsia"/>
                <w:b/>
                <w:bCs/>
                <w:highlight w:val="none"/>
                <w:lang w:eastAsia="zh-CN"/>
              </w:rPr>
              <w:t>6-2020）相符性分析</w:t>
            </w:r>
          </w:p>
          <w:p>
            <w:pPr>
              <w:pStyle w:val="8"/>
              <w:ind w:left="120" w:leftChars="50" w:firstLine="480"/>
              <w:rPr>
                <w:highlight w:val="none"/>
                <w:lang w:eastAsia="zh-CN"/>
              </w:rPr>
            </w:pPr>
            <w:r>
              <w:rPr>
                <w:rFonts w:hint="eastAsia"/>
                <w:highlight w:val="none"/>
                <w:lang w:eastAsia="zh-CN"/>
              </w:rPr>
              <w:t>根据《合肥高新技术产业开发区总体规划》（20</w:t>
            </w:r>
            <w:r>
              <w:rPr>
                <w:rFonts w:hint="eastAsia"/>
                <w:highlight w:val="none"/>
                <w:lang w:val="en-US" w:eastAsia="zh-CN"/>
              </w:rPr>
              <w:t>0</w:t>
            </w:r>
            <w:r>
              <w:rPr>
                <w:rFonts w:hint="eastAsia"/>
                <w:highlight w:val="none"/>
                <w:lang w:eastAsia="zh-CN"/>
              </w:rPr>
              <w:t>6-2020），将合肥高新技术产业开发区定位为“建设为国家高新技术产业开发区，安徽省高新技术产业集聚地，合肥主城区西部重要经济增长及综合功能型开发区、创新创业引领区、产城融合示范区。”集聚形成智能家电、汽车及配套、新一代信息技术、光伏新能源、应急、生物医药、节能环保等高新技术产业集群，获批建设国家应急产业示范基地、省智能语音、集成电路、生物医药发展基地等省级以上新兴产业基地。本项目为汽车零部件及配件制造项目，为汽车及配套等高新技术产业集群，本项目用地性质为工业用地，符合《合肥高新技术产业开发区总体规划》（20</w:t>
            </w:r>
            <w:r>
              <w:rPr>
                <w:rFonts w:hint="eastAsia"/>
                <w:highlight w:val="none"/>
                <w:lang w:val="en-US" w:eastAsia="zh-CN"/>
              </w:rPr>
              <w:t>0</w:t>
            </w:r>
            <w:r>
              <w:rPr>
                <w:rFonts w:hint="eastAsia"/>
                <w:highlight w:val="none"/>
                <w:lang w:eastAsia="zh-CN"/>
              </w:rPr>
              <w:t>6-2020）。</w:t>
            </w:r>
          </w:p>
          <w:p>
            <w:pPr>
              <w:pStyle w:val="8"/>
              <w:ind w:left="120" w:leftChars="50" w:firstLine="482"/>
              <w:rPr>
                <w:b/>
                <w:bCs/>
                <w:highlight w:val="none"/>
                <w:lang w:eastAsia="zh-CN"/>
              </w:rPr>
            </w:pPr>
            <w:r>
              <w:rPr>
                <w:rFonts w:hint="eastAsia"/>
                <w:b/>
                <w:bCs/>
                <w:highlight w:val="none"/>
                <w:lang w:eastAsia="zh-CN"/>
              </w:rPr>
              <w:t>二、与《合肥高新技术产业开发区规划环境影响报告书》及审查意见（环审</w:t>
            </w:r>
            <w:r>
              <w:rPr>
                <w:b/>
                <w:bCs/>
                <w:highlight w:val="none"/>
                <w:lang w:eastAsia="zh-CN"/>
              </w:rPr>
              <w:t>〔</w:t>
            </w:r>
            <w:r>
              <w:rPr>
                <w:rFonts w:hint="eastAsia"/>
                <w:b/>
                <w:bCs/>
                <w:highlight w:val="none"/>
                <w:lang w:eastAsia="zh-CN"/>
              </w:rPr>
              <w:t>2008</w:t>
            </w:r>
            <w:r>
              <w:rPr>
                <w:b/>
                <w:bCs/>
                <w:highlight w:val="none"/>
                <w:lang w:eastAsia="zh-CN"/>
              </w:rPr>
              <w:t>〕</w:t>
            </w:r>
            <w:r>
              <w:rPr>
                <w:rFonts w:hint="eastAsia"/>
                <w:b/>
                <w:bCs/>
                <w:highlight w:val="none"/>
                <w:lang w:eastAsia="zh-CN"/>
              </w:rPr>
              <w:t>143号）相符性</w:t>
            </w:r>
          </w:p>
          <w:p>
            <w:pPr>
              <w:pStyle w:val="8"/>
              <w:keepNext w:val="0"/>
              <w:keepLines w:val="0"/>
              <w:pageBreakBefore w:val="0"/>
              <w:widowControl/>
              <w:kinsoku/>
              <w:wordWrap/>
              <w:overflowPunct/>
              <w:topLinePunct w:val="0"/>
              <w:autoSpaceDE w:val="0"/>
              <w:autoSpaceDN w:val="0"/>
              <w:bidi w:val="0"/>
              <w:adjustRightInd w:val="0"/>
              <w:snapToGrid w:val="0"/>
              <w:ind w:left="120" w:leftChars="50" w:firstLine="480"/>
              <w:textAlignment w:val="baseline"/>
              <w:rPr>
                <w:rFonts w:hint="eastAsia"/>
                <w:highlight w:val="none"/>
                <w:lang w:eastAsia="zh-CN"/>
              </w:rPr>
            </w:pPr>
            <w:r>
              <w:rPr>
                <w:rFonts w:hint="eastAsia"/>
                <w:highlight w:val="none"/>
                <w:lang w:eastAsia="zh-CN"/>
              </w:rPr>
              <w:t>根据《关于合肥高新技术产业开发区规划环评影响报告书的审查意见》（环审〔2008〕143号）可知，合肥市高新区规划重点发展高科技产业及相关产业，主要是电子信息、生物医药、新材料、光机电一体化及其国家鼓励类有关产业和符合“中国高新技术产品目录”的高新技术产业。对不符合园区发展目标和产业导向要求的传统产业以及现有污染严重的企业进行清理整顿，严禁违反国家产业政策和高新区产业定位，但水耗、能耗高、废水排放量大的项目也严禁进入园区，对化工及化学品原料制造，造纸及制品业，皮革、毛皮、羽绒及其制造业，黑色金属冶炼及压延加工业，印染类项目控制入园区，对炼油、产生致癌、致畸、致突变物质的项目禁止进入园区。</w:t>
            </w:r>
          </w:p>
          <w:p>
            <w:pPr>
              <w:pStyle w:val="8"/>
              <w:ind w:left="120" w:leftChars="50" w:firstLine="480"/>
              <w:rPr>
                <w:highlight w:val="none"/>
                <w:lang w:eastAsia="zh-CN"/>
              </w:rPr>
            </w:pPr>
            <w:r>
              <w:rPr>
                <w:rFonts w:hint="eastAsia"/>
                <w:highlight w:val="none"/>
                <w:lang w:eastAsia="zh-CN"/>
              </w:rPr>
              <w:t>本项目属于汽车零部件及配件制造项目，不属于《产业结构调整指导目录（2024年本）》中规定的限制类和淘汰类项目，可视为允许类，不属于合肥高新技术产业开发区规划中禁止入园的项目。</w:t>
            </w:r>
          </w:p>
          <w:p>
            <w:pPr>
              <w:pStyle w:val="18"/>
              <w:rPr>
                <w:highlight w:val="none"/>
                <w:lang w:eastAsia="zh-CN"/>
              </w:rPr>
            </w:pPr>
            <w:r>
              <w:rPr>
                <w:highlight w:val="none"/>
                <w:lang w:eastAsia="zh-CN"/>
              </w:rPr>
              <w:t>表1-</w:t>
            </w:r>
            <w:r>
              <w:rPr>
                <w:rFonts w:hint="eastAsia"/>
                <w:highlight w:val="none"/>
                <w:lang w:eastAsia="zh-CN"/>
              </w:rPr>
              <w:t>1</w:t>
            </w:r>
            <w:r>
              <w:rPr>
                <w:highlight w:val="none"/>
                <w:lang w:eastAsia="zh-CN"/>
              </w:rPr>
              <w:t xml:space="preserve">  与《合肥高新技术产业开发区规划环境影响报告书》及其审查意见符合性分析</w:t>
            </w:r>
          </w:p>
          <w:tbl>
            <w:tblPr>
              <w:tblStyle w:val="14"/>
              <w:tblW w:w="74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2991"/>
              <w:gridCol w:w="3009"/>
              <w:gridCol w:w="6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9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序号</w:t>
                  </w:r>
                </w:p>
              </w:tc>
              <w:tc>
                <w:tcPr>
                  <w:tcW w:w="29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规划环评及其审查意见</w:t>
                  </w:r>
                </w:p>
              </w:tc>
              <w:tc>
                <w:tcPr>
                  <w:tcW w:w="300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本项目情况</w:t>
                  </w:r>
                </w:p>
              </w:tc>
              <w:tc>
                <w:tcPr>
                  <w:tcW w:w="68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相符性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9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1</w:t>
                  </w:r>
                </w:p>
              </w:tc>
              <w:tc>
                <w:tcPr>
                  <w:tcW w:w="29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优化和调整高新区产业结构，严格入区项目的环境准入。对不符合园区发展目标和产业导向要求的传统产业以及现有污染严重的企业进行清理整顿，严禁违反国家产业政策和不符合高新区产业定位的建设项目入区，对于符合国家产业政策和高新区产业定位，但水耗、能耗高、废水排放量大的项目也严禁进入园区。</w:t>
                  </w:r>
                </w:p>
              </w:tc>
              <w:tc>
                <w:tcPr>
                  <w:tcW w:w="300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本项目符合国家和高新区产业政策，项目不属于水耗高、能耗高、废水排放量大的项目。</w:t>
                  </w:r>
                </w:p>
              </w:tc>
              <w:tc>
                <w:tcPr>
                  <w:tcW w:w="68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9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2</w:t>
                  </w:r>
                </w:p>
              </w:tc>
              <w:tc>
                <w:tcPr>
                  <w:tcW w:w="29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进一步优化高新区布局。优化园区内工业区与居住区的布局，确保居住区和学校等达到环境功能区划要求；柏堰科技园应降低工业用地比重，适当增加科研、教育、生态功能用地；科技创新示范区应减少二类工业用地，将规划的长江路以南、312高速公路以西、科一路以东、学二路以北的二类工业用地调整为居住或公共设施用地，控制昌河厂地块的工业用地规模。</w:t>
                  </w:r>
                </w:p>
              </w:tc>
              <w:tc>
                <w:tcPr>
                  <w:tcW w:w="300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本项目位于合肥高新区柏堰科技园宁西路108号马瑞利动力系统（合肥）有限公司厂区内，用地性质为工业用地。</w:t>
                  </w:r>
                </w:p>
              </w:tc>
              <w:tc>
                <w:tcPr>
                  <w:tcW w:w="68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9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3</w:t>
                  </w:r>
                </w:p>
              </w:tc>
              <w:tc>
                <w:tcPr>
                  <w:tcW w:w="29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切实落实报告书提出的生态环境保护和建设措施。对于大蜀山森林公园及其周围生态保护地带布置蔬菜果林、苗圃基地、风景林区等生态绿地予以保护，对于南山湖、西山湖沿湖建设防护林予以保护。</w:t>
                  </w:r>
                </w:p>
              </w:tc>
              <w:tc>
                <w:tcPr>
                  <w:tcW w:w="300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本项目用地属于工业用地，距离大蜀山森林公园及其周围生态保护地带布置蔬菜果林、苗圃基地、风景林区等生态绿地较远</w:t>
                  </w:r>
                  <w:r>
                    <w:rPr>
                      <w:rFonts w:hint="eastAsia"/>
                      <w:highlight w:val="none"/>
                    </w:rPr>
                    <w:t>。</w:t>
                  </w:r>
                  <w:r>
                    <w:rPr>
                      <w:highlight w:val="none"/>
                    </w:rPr>
                    <w:t>项目</w:t>
                  </w:r>
                  <w:r>
                    <w:rPr>
                      <w:rFonts w:hint="eastAsia"/>
                      <w:highlight w:val="none"/>
                    </w:rPr>
                    <w:t>焊接烟尘经自带净化除尘系统处理后达标排放，厨房油烟经油烟净化系统处理后达标排放。</w:t>
                  </w:r>
                </w:p>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项目</w:t>
                  </w:r>
                  <w:r>
                    <w:rPr>
                      <w:rFonts w:hint="eastAsia"/>
                      <w:highlight w:val="none"/>
                    </w:rPr>
                    <w:t>餐饮废水经过油水分离器预处理后和生活污水、未可预见废水进入化粪池处理，处理后废水</w:t>
                  </w:r>
                  <w:r>
                    <w:rPr>
                      <w:highlight w:val="none"/>
                    </w:rPr>
                    <w:t>接入市政管网进合肥西部组团污水处理厂进行处理</w:t>
                  </w:r>
                  <w:r>
                    <w:rPr>
                      <w:rFonts w:hint="eastAsia"/>
                      <w:highlight w:val="none"/>
                      <w:lang w:eastAsia="zh-CN"/>
                    </w:rPr>
                    <w:t>，</w:t>
                  </w:r>
                  <w:r>
                    <w:rPr>
                      <w:rFonts w:hint="eastAsia"/>
                      <w:highlight w:val="none"/>
                    </w:rPr>
                    <w:t>符合合肥高新技术产业开发区土地利用规划要求。</w:t>
                  </w:r>
                </w:p>
              </w:tc>
              <w:tc>
                <w:tcPr>
                  <w:tcW w:w="68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79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4</w:t>
                  </w:r>
                </w:p>
              </w:tc>
              <w:tc>
                <w:tcPr>
                  <w:tcW w:w="29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尽快健全高新区环境管理体系。编制环境保护专项规划，结合《巢湖流域水污染防治“十一五”规划》和国家“十一五”期间节能减排的政策，以及省、市的相关要求，控制高新区废水排放总量。</w:t>
                  </w:r>
                </w:p>
              </w:tc>
              <w:tc>
                <w:tcPr>
                  <w:tcW w:w="300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本项目废水排放主要为</w:t>
                  </w:r>
                  <w:r>
                    <w:rPr>
                      <w:rFonts w:hint="eastAsia"/>
                      <w:highlight w:val="none"/>
                      <w:lang w:val="en-US" w:eastAsia="zh-CN"/>
                    </w:rPr>
                    <w:t>职工</w:t>
                  </w:r>
                  <w:r>
                    <w:rPr>
                      <w:highlight w:val="none"/>
                    </w:rPr>
                    <w:t>生活污水</w:t>
                  </w:r>
                  <w:r>
                    <w:rPr>
                      <w:rFonts w:hint="eastAsia"/>
                      <w:highlight w:val="none"/>
                    </w:rPr>
                    <w:t>、餐饮</w:t>
                  </w:r>
                  <w:r>
                    <w:rPr>
                      <w:highlight w:val="none"/>
                    </w:rPr>
                    <w:t>废水和</w:t>
                  </w:r>
                  <w:r>
                    <w:rPr>
                      <w:rFonts w:hint="eastAsia"/>
                      <w:highlight w:val="none"/>
                    </w:rPr>
                    <w:t>未可预见废水</w:t>
                  </w:r>
                  <w:r>
                    <w:rPr>
                      <w:highlight w:val="none"/>
                    </w:rPr>
                    <w:t>，用水量较小。</w:t>
                  </w:r>
                </w:p>
              </w:tc>
              <w:tc>
                <w:tcPr>
                  <w:tcW w:w="68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79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5</w:t>
                  </w:r>
                </w:p>
              </w:tc>
              <w:tc>
                <w:tcPr>
                  <w:tcW w:w="29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加快高新区环保基础设施的建设。尽快建成高新区配套污水处理厂，采取中水回用等有效措施减少废水排放。</w:t>
                  </w:r>
                </w:p>
              </w:tc>
              <w:tc>
                <w:tcPr>
                  <w:tcW w:w="300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本项目</w:t>
                  </w:r>
                  <w:r>
                    <w:rPr>
                      <w:rFonts w:hint="eastAsia"/>
                      <w:highlight w:val="none"/>
                    </w:rPr>
                    <w:t>项目餐饮废水经过油水分离器预处理后和生活污水、未可预见废水进入化粪池</w:t>
                  </w:r>
                  <w:r>
                    <w:rPr>
                      <w:rFonts w:hint="eastAsia"/>
                      <w:highlight w:val="none"/>
                      <w:lang w:val="en-US" w:eastAsia="zh-CN"/>
                    </w:rPr>
                    <w:t>进行</w:t>
                  </w:r>
                  <w:r>
                    <w:rPr>
                      <w:rFonts w:hint="eastAsia"/>
                      <w:highlight w:val="none"/>
                    </w:rPr>
                    <w:t>处理，处理后的废水</w:t>
                  </w:r>
                  <w:r>
                    <w:rPr>
                      <w:highlight w:val="none"/>
                    </w:rPr>
                    <w:t>接入市政污水管网排入西部组团污水处理厂处理，尾水排入派河截导污工程，最终进入巢湖。</w:t>
                  </w:r>
                </w:p>
              </w:tc>
              <w:tc>
                <w:tcPr>
                  <w:tcW w:w="68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相符</w:t>
                  </w:r>
                </w:p>
              </w:tc>
            </w:tr>
          </w:tbl>
          <w:p>
            <w:pPr>
              <w:pStyle w:val="8"/>
              <w:ind w:left="120" w:leftChars="50" w:firstLine="482"/>
              <w:rPr>
                <w:b/>
                <w:bCs/>
                <w:highlight w:val="none"/>
                <w:lang w:eastAsia="zh-CN"/>
              </w:rPr>
            </w:pPr>
            <w:r>
              <w:rPr>
                <w:rFonts w:hint="eastAsia"/>
                <w:b/>
                <w:bCs/>
                <w:highlight w:val="none"/>
                <w:lang w:eastAsia="zh-CN"/>
              </w:rPr>
              <w:t>三、与《合肥高新技术产业开发区规划环境影响跟踪评价工作有关意见》相符性分析：</w:t>
            </w:r>
          </w:p>
          <w:p>
            <w:pPr>
              <w:pStyle w:val="8"/>
              <w:ind w:left="120" w:leftChars="50" w:firstLine="480"/>
              <w:rPr>
                <w:highlight w:val="none"/>
                <w:lang w:eastAsia="zh-CN"/>
              </w:rPr>
            </w:pPr>
            <w:r>
              <w:rPr>
                <w:rFonts w:hint="eastAsia"/>
                <w:highlight w:val="none"/>
                <w:lang w:eastAsia="zh-CN"/>
              </w:rPr>
              <w:t>由《合肥高新技术产业开发区规划环境影响跟踪评价报告书》可知，规划重点发展高科技产业及相关产业，主要是电子信息、生物医药、新材料、光机电一体化及其国家鼓励类有关产业政策和符合“中国高新技术产业产品目录”的高新技术产业。本项目为汽车零部件及配件制造项目，不属于《产业结构调整指导目录（2024年本）》中规定的限制类和淘汰类项目，可视为允许类。符合合肥高新技术产业开发区产业规划，符合《合肥高新技术产业开发区规划环境影响跟踪评价报告书》及《关于合肥高新技术产业开发区规划环境影响跟踪评价工作有关意见的函》（环办环评函﹝2020﹞436号）的相关内容。</w:t>
            </w:r>
          </w:p>
          <w:p>
            <w:pPr>
              <w:pStyle w:val="18"/>
              <w:rPr>
                <w:highlight w:val="none"/>
                <w:lang w:eastAsia="zh-CN"/>
              </w:rPr>
            </w:pPr>
            <w:r>
              <w:rPr>
                <w:highlight w:val="none"/>
                <w:lang w:eastAsia="zh-CN"/>
              </w:rPr>
              <w:t>表1-</w:t>
            </w:r>
            <w:r>
              <w:rPr>
                <w:rFonts w:hint="eastAsia"/>
                <w:highlight w:val="none"/>
                <w:lang w:eastAsia="zh-CN"/>
              </w:rPr>
              <w:t>2</w:t>
            </w:r>
            <w:r>
              <w:rPr>
                <w:highlight w:val="none"/>
                <w:lang w:eastAsia="zh-CN"/>
              </w:rPr>
              <w:t xml:space="preserve">  与《合肥高新技术产业开发区规划环境影响跟踪评价工作有关意见》符合性分析</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9"/>
              <w:gridCol w:w="2691"/>
              <w:gridCol w:w="2896"/>
              <w:gridCol w:w="8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序号</w:t>
                  </w:r>
                </w:p>
              </w:tc>
              <w:tc>
                <w:tcPr>
                  <w:tcW w:w="26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文件要求</w:t>
                  </w:r>
                </w:p>
              </w:tc>
              <w:tc>
                <w:tcPr>
                  <w:tcW w:w="289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w:t>
                  </w:r>
                </w:p>
              </w:tc>
              <w:tc>
                <w:tcPr>
                  <w:tcW w:w="8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1</w:t>
                  </w:r>
                </w:p>
              </w:tc>
              <w:tc>
                <w:tcPr>
                  <w:tcW w:w="26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一）落实长江经济带“共抓大保护，不搞大开发”的总体要求及《巢湖流域水污染防治条例（2020年3月1日实施）》等环境管理要求，坚持高质量发展、协调发展。做好与安徽省“三线一单”（生态保护红线、环境质量底线、资源利用上线、生态环境准入清单）、合肥市国土空间总体规划等成果的衔接，确保产业发展与区域生态环境保护、人居环境质量保障相协调。</w:t>
                  </w:r>
                </w:p>
              </w:tc>
              <w:tc>
                <w:tcPr>
                  <w:tcW w:w="289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本项目符合《巢湖流域水污染防治条例》相关要求；且本项目符合“生态环境分区管控”</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相关要求。</w:t>
                  </w:r>
                </w:p>
              </w:tc>
              <w:tc>
                <w:tcPr>
                  <w:tcW w:w="8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2</w:t>
                  </w:r>
                </w:p>
              </w:tc>
              <w:tc>
                <w:tcPr>
                  <w:tcW w:w="26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二）着力推动高新区转型升级，做好全过程环境管控。按照国家和安徽省最新环境管理要求，加快高新区产业转型升级和结构优化。现有不符合高新区发展定位和环境保护要求的企业应逐步升级改造或搬迁、淘汰。做好污染企业遗留场地的土壤环境调查和风险评估，确保土地安全利用。</w:t>
                  </w:r>
                </w:p>
              </w:tc>
              <w:tc>
                <w:tcPr>
                  <w:tcW w:w="289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本项目为汽车零部件及配件制造项目，</w:t>
                  </w:r>
                  <w:r>
                    <w:rPr>
                      <w:rFonts w:hint="eastAsia"/>
                      <w:highlight w:val="none"/>
                    </w:rPr>
                    <w:t>不属于限制类和淘汰类项目</w:t>
                  </w:r>
                  <w:r>
                    <w:rPr>
                      <w:highlight w:val="none"/>
                    </w:rPr>
                    <w:t>。本项目属于扩建项目，依托现有厂房进行建设，项目场地一直空置，无遗留的环境</w:t>
                  </w:r>
                  <w:r>
                    <w:rPr>
                      <w:rFonts w:hint="eastAsia"/>
                      <w:highlight w:val="none"/>
                    </w:rPr>
                    <w:t>污染</w:t>
                  </w:r>
                  <w:r>
                    <w:rPr>
                      <w:highlight w:val="none"/>
                    </w:rPr>
                    <w:t>问题</w:t>
                  </w:r>
                </w:p>
              </w:tc>
              <w:tc>
                <w:tcPr>
                  <w:tcW w:w="8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3</w:t>
                  </w:r>
                </w:p>
              </w:tc>
              <w:tc>
                <w:tcPr>
                  <w:tcW w:w="26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三）严格空间管控，优化区内空间布局。做好规划用地控制和生态隔离带建设，加强对高新区内及周边集中居住区等生活空间的防护，优化集中居住区及周边的用地布局。加强区内大蜀山森林公园，蜀山干渠、柏堰湖、王咀湖等地表水体，绿地等生态空间的保护，严禁不符合环境管控要求的各类开发建设活动。</w:t>
                  </w:r>
                </w:p>
              </w:tc>
              <w:tc>
                <w:tcPr>
                  <w:tcW w:w="289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本项目用地属于工业用地，本项目距离大蜀山森林公园约4600m，距离蜀山干渠约4900m、距离柏堰湖约2000m、距离王咀湖约4800m</w:t>
                  </w:r>
                  <w:r>
                    <w:rPr>
                      <w:rFonts w:hint="eastAsia"/>
                      <w:highlight w:val="none"/>
                    </w:rPr>
                    <w:t>。项目焊接烟尘经自带净化除尘系统处理后达标排放，厨房油烟经油烟净化系统处理后达标排放。项目餐饮废水经过油水分离器预处理后和生活污水进入化粪池处理，处理后的废水接入市政管网进合肥西部组团污水处理厂进行处理。</w:t>
                  </w:r>
                  <w:r>
                    <w:rPr>
                      <w:highlight w:val="none"/>
                    </w:rPr>
                    <w:t>各项污染物得到合理的处置后，符合合肥高新技术产业开发区土地利用规划要求。</w:t>
                  </w:r>
                </w:p>
              </w:tc>
              <w:tc>
                <w:tcPr>
                  <w:tcW w:w="8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4</w:t>
                  </w:r>
                </w:p>
              </w:tc>
              <w:tc>
                <w:tcPr>
                  <w:tcW w:w="26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四）严守环境质量底线，强化污染物排放总量管控。根据合肥市大气环境质量达标规划、巢湖流域污染防治规划等最新环境管理要求、以及安徽省“三线一单”成果，制定高新区污染减排方案，落实污染物总量管控要求。采取有效措施减少挥发性有机物、重金属污染物的排放量，坚持“增产减污”，确保达标排放和区域环境质量持续改善。</w:t>
                  </w:r>
                </w:p>
              </w:tc>
              <w:tc>
                <w:tcPr>
                  <w:tcW w:w="289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项目焊接烟尘经自带净化除尘系统处理后达标排放，食堂油烟经油烟净化系统处理后达标排放。污染物均可达标排放，对区域环境影响较小。</w:t>
                  </w:r>
                </w:p>
              </w:tc>
              <w:tc>
                <w:tcPr>
                  <w:tcW w:w="8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5</w:t>
                  </w:r>
                </w:p>
              </w:tc>
              <w:tc>
                <w:tcPr>
                  <w:tcW w:w="26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（五）完善高新区环境基础设施建设。提升高新区技术装备和污染治理水平，推动企业间中水梯级利用，减少废水排放量</w:t>
                  </w:r>
                  <w:r>
                    <w:rPr>
                      <w:rFonts w:hint="eastAsia"/>
                      <w:highlight w:val="none"/>
                    </w:rPr>
                    <w:t>。</w:t>
                  </w:r>
                  <w:r>
                    <w:rPr>
                      <w:highlight w:val="none"/>
                    </w:rPr>
                    <w:t>推进完善集中供热，落实热电厂节能和超低排放改造。加强挥发性有机物、恶臭污染的治理。固体废物、危险废物应依法依规收集、处理处置。</w:t>
                  </w:r>
                </w:p>
              </w:tc>
              <w:tc>
                <w:tcPr>
                  <w:tcW w:w="289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本项目周边基础设施完善，采取的污染控制措施符合行业规范要求。项目危废集中收集后分类贮存于危废暂存间，定期交由有资质单位处理。</w:t>
                  </w:r>
                </w:p>
              </w:tc>
              <w:tc>
                <w:tcPr>
                  <w:tcW w:w="8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6</w:t>
                  </w:r>
                </w:p>
              </w:tc>
              <w:tc>
                <w:tcPr>
                  <w:tcW w:w="26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六）严格项目生态环境准入，推动高质量发展。入园项目应落实《安徽省长江经济带发展负面清单实施细则（试行）》（皖长江办〔2019〕18号）要求，围绕主导产业，确保工艺先进、技术创新、排污量少，并达到清洁生产国际先进水平。禁止引进纯电镀加工类项目，主导产业配套的电镀工序项目应依法依规集中布局。</w:t>
                  </w:r>
                </w:p>
              </w:tc>
              <w:tc>
                <w:tcPr>
                  <w:tcW w:w="289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本项目为汽车零部件及配件制造项目，不属于《安徽省长江经济带发展负面清单实施细则（试行，2022年版）》（皖长江办〔2022〕10号）所列项目</w:t>
                  </w:r>
                </w:p>
              </w:tc>
              <w:tc>
                <w:tcPr>
                  <w:tcW w:w="8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8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7</w:t>
                  </w:r>
                </w:p>
              </w:tc>
              <w:tc>
                <w:tcPr>
                  <w:tcW w:w="26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七）组织制定生态环境保护规划，完善环境监测体系。统筹考虑区内污染防治、生态恢复与建设、环境风险防范、环境管理等事宜。建立健全区域环境风险防范体系，建立应急响应联动机制，提升高新区环境风险防控和应急响应能力，保障区域环境安全。完善包括环境空气、地表水、地下水、土壤、底泥等环境要素的监控体系，做好长期跟踪监测与管理。</w:t>
                  </w:r>
                </w:p>
              </w:tc>
              <w:tc>
                <w:tcPr>
                  <w:tcW w:w="289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本环评已按照相关要求制定严格的环境监测计划。建设单位建设过程须落实环境风险防范措施，建立完善的风险防控措施。</w:t>
                  </w:r>
                </w:p>
              </w:tc>
              <w:tc>
                <w:tcPr>
                  <w:tcW w:w="8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符合</w:t>
                  </w:r>
                </w:p>
              </w:tc>
            </w:tr>
          </w:tbl>
          <w:p>
            <w:pPr>
              <w:pStyle w:val="8"/>
              <w:ind w:firstLine="0" w:firstLineChars="0"/>
              <w:rPr>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001" w:type="dxa"/>
            <w:tcBorders>
              <w:left w:val="single" w:color="000000" w:sz="6" w:space="0"/>
            </w:tcBorders>
            <w:vAlign w:val="center"/>
          </w:tcPr>
          <w:p>
            <w:pPr>
              <w:jc w:val="center"/>
              <w:rPr>
                <w:highlight w:val="none"/>
              </w:rPr>
            </w:pPr>
            <w:r>
              <w:rPr>
                <w:highlight w:val="none"/>
              </w:rPr>
              <w:t>其他符合性分析</w:t>
            </w:r>
          </w:p>
        </w:tc>
        <w:tc>
          <w:tcPr>
            <w:tcW w:w="7873" w:type="dxa"/>
            <w:gridSpan w:val="3"/>
            <w:tcBorders>
              <w:right w:val="single" w:color="000000" w:sz="6" w:space="0"/>
            </w:tcBorders>
          </w:tcPr>
          <w:p>
            <w:pPr>
              <w:pStyle w:val="8"/>
              <w:ind w:firstLine="482"/>
              <w:rPr>
                <w:b/>
                <w:bCs/>
                <w:highlight w:val="none"/>
                <w:lang w:eastAsia="zh-CN"/>
              </w:rPr>
            </w:pPr>
            <w:r>
              <w:rPr>
                <w:b/>
                <w:bCs/>
                <w:highlight w:val="none"/>
                <w:lang w:eastAsia="zh-CN"/>
              </w:rPr>
              <w:t>1、产业政策符合性</w:t>
            </w:r>
          </w:p>
          <w:p>
            <w:pPr>
              <w:pStyle w:val="8"/>
              <w:ind w:left="120" w:leftChars="50" w:firstLine="480"/>
              <w:rPr>
                <w:highlight w:val="none"/>
                <w:lang w:eastAsia="zh-CN"/>
              </w:rPr>
            </w:pPr>
            <w:r>
              <w:rPr>
                <w:highlight w:val="none"/>
                <w:lang w:eastAsia="zh-CN"/>
              </w:rPr>
              <w:t>根据《产业结构调整指导目录》（2024年本），本项目为汽车零部件及配件制造项目，</w:t>
            </w:r>
            <w:r>
              <w:rPr>
                <w:rFonts w:hint="eastAsia"/>
                <w:highlight w:val="none"/>
                <w:lang w:eastAsia="zh-CN"/>
              </w:rPr>
              <w:t>不属于《产业结构调整指导目录（2024年本）》中规定的限制类和淘汰类项</w:t>
            </w:r>
            <w:r>
              <w:rPr>
                <w:rStyle w:val="19"/>
                <w:rFonts w:hint="eastAsia"/>
                <w:highlight w:val="none"/>
                <w:lang w:eastAsia="zh-CN"/>
              </w:rPr>
              <w:t>目，可视为允许类，</w:t>
            </w:r>
            <w:r>
              <w:rPr>
                <w:rStyle w:val="19"/>
                <w:highlight w:val="none"/>
                <w:lang w:eastAsia="zh-CN"/>
              </w:rPr>
              <w:t>符合</w:t>
            </w:r>
            <w:r>
              <w:rPr>
                <w:highlight w:val="none"/>
                <w:lang w:eastAsia="zh-CN"/>
              </w:rPr>
              <w:t>国家产业政策要求。</w:t>
            </w:r>
          </w:p>
          <w:p>
            <w:pPr>
              <w:pStyle w:val="8"/>
              <w:ind w:left="120" w:leftChars="50" w:firstLine="480"/>
              <w:rPr>
                <w:highlight w:val="none"/>
                <w:lang w:eastAsia="zh-CN"/>
              </w:rPr>
            </w:pPr>
            <w:r>
              <w:rPr>
                <w:highlight w:val="none"/>
                <w:lang w:eastAsia="zh-CN"/>
              </w:rPr>
              <w:t>合肥高新区经发局于2025年</w:t>
            </w:r>
            <w:r>
              <w:rPr>
                <w:rFonts w:hint="eastAsia"/>
                <w:highlight w:val="none"/>
                <w:lang w:eastAsia="zh-CN"/>
              </w:rPr>
              <w:t>12</w:t>
            </w:r>
            <w:r>
              <w:rPr>
                <w:highlight w:val="none"/>
                <w:lang w:eastAsia="zh-CN"/>
              </w:rPr>
              <w:t xml:space="preserve">月24日予以备案（备案文号： </w:t>
            </w:r>
            <w:r>
              <w:rPr>
                <w:rFonts w:hint="eastAsia" w:eastAsia="Times New Roman" w:cs="Times New Roman"/>
                <w:spacing w:val="-1"/>
                <w:highlight w:val="none"/>
                <w:lang w:eastAsia="zh-CN"/>
              </w:rPr>
              <w:t>2512-340161-04-05-589093</w:t>
            </w:r>
            <w:r>
              <w:rPr>
                <w:highlight w:val="none"/>
                <w:lang w:eastAsia="zh-CN"/>
              </w:rPr>
              <w:t>）。</w:t>
            </w:r>
          </w:p>
          <w:p>
            <w:pPr>
              <w:pStyle w:val="8"/>
              <w:ind w:firstLine="480"/>
              <w:rPr>
                <w:highlight w:val="none"/>
                <w:lang w:eastAsia="zh-CN"/>
              </w:rPr>
            </w:pPr>
            <w:r>
              <w:rPr>
                <w:highlight w:val="none"/>
                <w:lang w:eastAsia="zh-CN"/>
              </w:rPr>
              <w:t>综上所述，本项目符合国家相关产业政策的要求。</w:t>
            </w:r>
          </w:p>
          <w:p>
            <w:pPr>
              <w:pStyle w:val="8"/>
              <w:ind w:firstLine="482"/>
              <w:rPr>
                <w:b/>
                <w:bCs/>
                <w:highlight w:val="none"/>
                <w:lang w:eastAsia="zh-CN"/>
              </w:rPr>
            </w:pPr>
            <w:r>
              <w:rPr>
                <w:b/>
                <w:bCs/>
                <w:highlight w:val="none"/>
                <w:lang w:eastAsia="zh-CN"/>
              </w:rPr>
              <w:t>2、选址合理性与周边环境相容性分析</w:t>
            </w:r>
          </w:p>
          <w:p>
            <w:pPr>
              <w:pStyle w:val="8"/>
              <w:ind w:firstLine="480"/>
              <w:rPr>
                <w:highlight w:val="none"/>
                <w:lang w:eastAsia="zh-CN"/>
              </w:rPr>
            </w:pPr>
            <w:r>
              <w:rPr>
                <w:highlight w:val="none"/>
                <w:lang w:eastAsia="zh-CN"/>
              </w:rPr>
              <w:t>（1）选址合理性分析</w:t>
            </w:r>
          </w:p>
          <w:p>
            <w:pPr>
              <w:pStyle w:val="8"/>
              <w:ind w:left="120" w:leftChars="50" w:firstLine="480"/>
              <w:rPr>
                <w:highlight w:val="none"/>
                <w:lang w:eastAsia="zh-CN"/>
              </w:rPr>
            </w:pPr>
            <w:r>
              <w:rPr>
                <w:rFonts w:hint="eastAsia"/>
                <w:highlight w:val="none"/>
                <w:lang w:eastAsia="zh-CN"/>
              </w:rPr>
              <w:t>项目位于合肥高新区柏堰科技园宁西路108号马瑞利动力系统（合肥）有限公司厂区内，根据《合肥市国土空间总体规划》（2021-2035年）中的土地利用总体规划，该厂址区域处于规划工业用地，符合合肥高新技术产业开发区土地利用规划要求，选址可行。</w:t>
            </w:r>
          </w:p>
          <w:p>
            <w:pPr>
              <w:pStyle w:val="8"/>
              <w:ind w:left="120" w:leftChars="50" w:firstLine="480"/>
              <w:rPr>
                <w:highlight w:val="none"/>
                <w:lang w:eastAsia="zh-CN"/>
              </w:rPr>
            </w:pPr>
            <w:r>
              <w:rPr>
                <w:rFonts w:hint="eastAsia"/>
                <w:highlight w:val="none"/>
                <w:lang w:eastAsia="zh-CN"/>
              </w:rPr>
              <w:t>（2）建设条件可行性分析</w:t>
            </w:r>
          </w:p>
          <w:p>
            <w:pPr>
              <w:pStyle w:val="8"/>
              <w:ind w:left="120" w:leftChars="50" w:firstLine="480"/>
              <w:rPr>
                <w:highlight w:val="none"/>
                <w:lang w:eastAsia="zh-CN"/>
              </w:rPr>
            </w:pPr>
            <w:r>
              <w:rPr>
                <w:rFonts w:hint="eastAsia"/>
                <w:highlight w:val="none"/>
                <w:lang w:eastAsia="zh-CN"/>
              </w:rPr>
              <w:t>项目建设区域附近的市政供水、排水、供电管网等基础设施齐全满足建设所需的外部条件。项目的给水、排水管网、供电系统等公建设施均可依托租赁房东现有工程。从建设条件可行性分析本项目建设条件可行。</w:t>
            </w:r>
          </w:p>
          <w:p>
            <w:pPr>
              <w:pStyle w:val="8"/>
              <w:ind w:left="120" w:leftChars="50" w:firstLine="480"/>
              <w:rPr>
                <w:highlight w:val="none"/>
                <w:lang w:eastAsia="zh-CN"/>
              </w:rPr>
            </w:pPr>
            <w:r>
              <w:rPr>
                <w:rFonts w:hint="eastAsia"/>
                <w:highlight w:val="none"/>
                <w:lang w:eastAsia="zh-CN"/>
              </w:rPr>
              <w:t>（3）周边环境相容性分析</w:t>
            </w:r>
          </w:p>
          <w:p>
            <w:pPr>
              <w:pStyle w:val="8"/>
              <w:ind w:left="120" w:leftChars="50" w:firstLine="480"/>
              <w:rPr>
                <w:highlight w:val="none"/>
                <w:lang w:eastAsia="zh-CN"/>
              </w:rPr>
            </w:pPr>
            <w:r>
              <w:rPr>
                <w:rFonts w:hint="eastAsia"/>
                <w:highlight w:val="none"/>
                <w:lang w:eastAsia="zh-CN"/>
              </w:rPr>
              <w:t>项目位于合肥高新区柏堰科技园宁西路108号马瑞利动力系统（合肥）有限公司厂区内。企业</w:t>
            </w:r>
            <w:r>
              <w:rPr>
                <w:rFonts w:hint="eastAsia"/>
                <w:color w:val="auto"/>
                <w:highlight w:val="none"/>
                <w:lang w:eastAsia="zh-CN"/>
              </w:rPr>
              <w:t>北侧为顺开电气智能电源系统研发生产基地；南侧为宁西路，隔路为空地；西侧为安徽贝昂智能科技有限公司；东侧为鞍钢钢材配送（合肥）有限公司。</w:t>
            </w:r>
            <w:r>
              <w:rPr>
                <w:rFonts w:hint="eastAsia"/>
                <w:highlight w:val="none"/>
                <w:lang w:eastAsia="zh-CN"/>
              </w:rPr>
              <w:t>项目焊接烟尘经自带净化除尘系统处理后达标排放，厨房油烟经油烟净化系统处理后达标排放；</w:t>
            </w:r>
            <w:r>
              <w:rPr>
                <w:rFonts w:hint="eastAsia"/>
                <w:highlight w:val="none"/>
                <w:lang w:val="en-US" w:eastAsia="zh-CN"/>
              </w:rPr>
              <w:t>本</w:t>
            </w:r>
            <w:r>
              <w:rPr>
                <w:rFonts w:hint="eastAsia"/>
                <w:highlight w:val="none"/>
                <w:lang w:eastAsia="zh-CN"/>
              </w:rPr>
              <w:t>项目餐饮废水经过油水分离器预处理后和生活污水、未可预见废水进入化粪池处理，处理后的废水接入市政管网进合肥西部组团污水处理厂进行处理，尾水排入派河截导污工程，最终进入巢湖；通过选用低噪设备、合理布局、厂房隔声等措施进行噪声防治；一般固废集中收集后资源外售，危险废物收集暂存于危废暂存间交由资质单位处置，生活垃圾由环卫部门清运。项目对周边环境影响较小，与周边环境相容，不会降低区域环境质量；项目营运期产生的污染物可实现达标排放，对环境</w:t>
            </w:r>
            <w:r>
              <w:rPr>
                <w:rFonts w:hint="eastAsia"/>
                <w:highlight w:val="none"/>
                <w:lang w:val="en-US" w:eastAsia="zh-CN"/>
              </w:rPr>
              <w:t>质量</w:t>
            </w:r>
            <w:r>
              <w:rPr>
                <w:rFonts w:hint="eastAsia"/>
                <w:highlight w:val="none"/>
                <w:lang w:eastAsia="zh-CN"/>
              </w:rPr>
              <w:t>影响较小，与周边环境相容。</w:t>
            </w:r>
          </w:p>
          <w:p>
            <w:pPr>
              <w:pStyle w:val="8"/>
              <w:ind w:left="120" w:leftChars="50" w:firstLine="480"/>
              <w:rPr>
                <w:highlight w:val="none"/>
                <w:lang w:eastAsia="zh-CN"/>
              </w:rPr>
            </w:pPr>
            <w:r>
              <w:rPr>
                <w:rFonts w:hint="eastAsia"/>
                <w:highlight w:val="none"/>
                <w:lang w:eastAsia="zh-CN"/>
              </w:rPr>
              <w:t>根据上述，项目所在地符合合肥高新技术产业开发区规划，与合肥高新技术产业开发区产业政策相符。项目所在地交通便利，市政设施完善，与周边环境相容。因此，项目规划及选址合理可行。</w:t>
            </w:r>
          </w:p>
          <w:p>
            <w:pPr>
              <w:pStyle w:val="8"/>
              <w:ind w:firstLine="482"/>
              <w:rPr>
                <w:b/>
                <w:bCs/>
                <w:highlight w:val="none"/>
                <w:lang w:eastAsia="zh-CN"/>
              </w:rPr>
            </w:pPr>
            <w:r>
              <w:rPr>
                <w:rFonts w:hint="eastAsia"/>
                <w:b/>
                <w:bCs/>
                <w:highlight w:val="none"/>
                <w:lang w:eastAsia="zh-CN"/>
              </w:rPr>
              <w:t>3、与《巢湖流域水污染防治条例》相符性分析</w:t>
            </w:r>
          </w:p>
          <w:p>
            <w:pPr>
              <w:pStyle w:val="18"/>
              <w:rPr>
                <w:highlight w:val="none"/>
                <w:lang w:eastAsia="zh-CN"/>
              </w:rPr>
            </w:pPr>
            <w:r>
              <w:rPr>
                <w:rFonts w:hint="eastAsia"/>
                <w:highlight w:val="none"/>
                <w:lang w:eastAsia="zh-CN"/>
              </w:rPr>
              <w:t>表1-3  本项目与《巢湖流域水污染防治条例》相符性分析</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76"/>
              <w:gridCol w:w="3300"/>
              <w:gridCol w:w="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57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相关要求</w:t>
                  </w:r>
                </w:p>
              </w:tc>
              <w:tc>
                <w:tcPr>
                  <w:tcW w:w="33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本项目情况</w:t>
                  </w:r>
                </w:p>
              </w:tc>
              <w:tc>
                <w:tcPr>
                  <w:tcW w:w="783"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相符性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57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第三条 巢湖湖体，巢湖岸线外延一千米范围内陆域，入湖河道上溯至一万米及沿岸两侧各二百米范围内陆域为一级保护区；巢湖岸线外延一千至三千米范围内陆域，入湖河道上溯至一万米沿岸两侧各二百至一千米范围内陆域为二级保护区；其他地区为三级保护区。巢湖流域水环境一、二、三级保护区的具体范围，由省人民政府确定并公布。</w:t>
                  </w:r>
                </w:p>
              </w:tc>
              <w:tc>
                <w:tcPr>
                  <w:tcW w:w="33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本项目位于合肥高新区柏堰科技园宁西路108号马瑞利动力系统（合肥）有限公司厂区内，属于巢湖流域三级保护区范围。</w:t>
                  </w:r>
                </w:p>
              </w:tc>
              <w:tc>
                <w:tcPr>
                  <w:tcW w:w="783"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57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第十二条 在巢湖流域新建、改建、扩建直接或者间接向水体排放污染物的建设项目和其他水上设施，应当依法进行环境影响评价。建设项目的环境影响报告表未依法经有审批权的生态环境主管部门审查或者审查后未予批准的，建设单位不得开工建设。</w:t>
                  </w:r>
                </w:p>
              </w:tc>
              <w:tc>
                <w:tcPr>
                  <w:tcW w:w="33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本项目位于巢湖流域内，废水排放为间接排放，项目属于</w:t>
                  </w:r>
                  <w:r>
                    <w:rPr>
                      <w:rFonts w:hint="eastAsia"/>
                      <w:highlight w:val="none"/>
                    </w:rPr>
                    <w:t>扩</w:t>
                  </w:r>
                  <w:r>
                    <w:rPr>
                      <w:highlight w:val="none"/>
                    </w:rPr>
                    <w:t>建项目，正在依法履行环境影响评价手续。建设单位承诺在项目依法有审批权的生态环境主管部门审查、批准后，本项目方开工建设。</w:t>
                  </w:r>
                </w:p>
              </w:tc>
              <w:tc>
                <w:tcPr>
                  <w:tcW w:w="783"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57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第十三条 建设项目的水污染防治设施，应当与主体工程同时设计、同时施工、同时投入使用。编制环境影响报告书、环境影响报告表的建设项目，其水污染防治设施经建设单位按照国务院生态环境主管部门规定的标准和程序验收合格，方可投入生产或者使用；未经验收或者验收不合格的，不得投入生产或者使用。不得擅自拆除或者闲置水污染防治设施。磷等重点水污染物年排放总量指标，实行减量替代。</w:t>
                  </w:r>
                </w:p>
              </w:tc>
              <w:tc>
                <w:tcPr>
                  <w:tcW w:w="33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项目餐饮废水经过油水分离器预处理后和生活污水、未可预见废水进入化粪池处理，处理后的废水</w:t>
                  </w:r>
                  <w:r>
                    <w:rPr>
                      <w:highlight w:val="none"/>
                    </w:rPr>
                    <w:t>接入市政管网进合肥西部组团污水处理厂进行处理，尾水排入派河截导污工程，最终进入巢湖。</w:t>
                  </w:r>
                </w:p>
              </w:tc>
              <w:tc>
                <w:tcPr>
                  <w:tcW w:w="783"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57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第二十七条 直接或间接向水体排放污染物的，应当按照规定取得排污许可证；城镇污水处理集中处理设施的运营单位，也应当取得排污许可证。排污单位应当按照国家和省有关规定检测规范化排污口，设置标准单位名称和排放污染物的种类、浓度及数量等内容的标志牌，在厂界内、外排污口分别设置排污取样口。排污单位间歇排放水污染物的，应当按照生态环境主管部门核定的时间排放。排放水污染物的时间应当向社会公布。建设单位在河道、湖泊新建、改建、扩建排污口的，应当取得生态环境主管部门同意；涉及通航、渔业水域的，生态环境主管部门在审批环境影响评价文件时，应当征求交通运输、农业农村部门的意见。</w:t>
                  </w:r>
                </w:p>
              </w:tc>
              <w:tc>
                <w:tcPr>
                  <w:tcW w:w="33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废水为间接排放，项目性质为扩建，正在履行环境影响评价手续。根据排污许可证全覆盖原则，本项目实行排污许可证登记管理。项目在投产前需在平台变更排污许可；本项目废水排放依托厂区现有的污水总排口，不在河道、湖泊新建、改建、扩建排污口。</w:t>
                  </w:r>
                </w:p>
              </w:tc>
              <w:tc>
                <w:tcPr>
                  <w:tcW w:w="783"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57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第三十一条 在合肥市公共排水设施覆盖区域内，排水单位和个人应当按照国家有关规定将污水排入公共排水设施；在雨水、污水分流地区，不得将污水排入雨水管网。除楼顶公共屋面雨水排放系统外，阳台、露台排水管道应当接入污水管网。在公共排水设施未覆盖区域内，排水户应当自建污水处理站或者自建排水管网接入公共排水设施。现有排水设施未实行雨水、污水分流的，应当按照城镇排水管理部门规定的期限和要求进行分流改造； 自用排水设施与公共排水设施的连接管由排水户负责建设。</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合肥市各级人民政府城镇排水管理部门应当对接管情况进行监督检查，督促排水户实行雨污分流改造，防止混接、漏接等。巢湖流域其他地区应当采取措施，推进雨水、污水分流。</w:t>
                  </w:r>
                </w:p>
              </w:tc>
              <w:tc>
                <w:tcPr>
                  <w:tcW w:w="33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本项目位于合肥西部组团污水处理厂收水范围内，废水由市政管网排入合肥西部组团污水处理厂。本项目依托厂区现有的雨污水管网，实行雨污分流。</w:t>
                  </w:r>
                </w:p>
              </w:tc>
              <w:tc>
                <w:tcPr>
                  <w:tcW w:w="783"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atLeast"/>
                <w:jc w:val="center"/>
              </w:trPr>
              <w:tc>
                <w:tcPr>
                  <w:tcW w:w="357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第三十三条 向城镇污水集中处理设施排放污水，应当达到国家和地方规定的水污染物排放标准以及污水排入城市下水道水质标准。污水集中处理设施运营单位对汇水范围内排污单位的排水进行取样检测时，有关排污单位应当提供便利条件。污水集中处理设施运营单位发现排水水质超过排放标准的，应当及时告知排污单位，并向所在地生态环境主管部门报告。</w:t>
                  </w:r>
                </w:p>
              </w:tc>
              <w:tc>
                <w:tcPr>
                  <w:tcW w:w="33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本项目废水由市政污水管网排入合肥西部组团污水处理厂，废水排放能够达到合肥西部组团污水处理厂的接管要求。</w:t>
                  </w:r>
                </w:p>
              </w:tc>
              <w:tc>
                <w:tcPr>
                  <w:tcW w:w="783"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357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第三十四条 巢湖流域重点排污单位及城镇污水集中处理设施运营单位应当按照国家有关规定和监测规范安装使用水污染排放自动监测设备，保障其正常运行，并与生态环境主管部门的监控设备联网。污染物原始监测记录应当妥善保存。</w:t>
                  </w:r>
                </w:p>
              </w:tc>
              <w:tc>
                <w:tcPr>
                  <w:tcW w:w="33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本项目不属于巢湖流域重点排污单位，无需安装水污染物排放自动监测设备。</w:t>
                  </w:r>
                </w:p>
              </w:tc>
              <w:tc>
                <w:tcPr>
                  <w:tcW w:w="783"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357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第四十二条 学校、科研院所、医疗机</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构等单位的实验室、检验室、化验室产生的危险废液，应当按照国家和省有关规定单独收集、安全处置。</w:t>
                  </w:r>
                </w:p>
              </w:tc>
              <w:tc>
                <w:tcPr>
                  <w:tcW w:w="33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本项目产生的危险废物主要为废润滑油</w:t>
                  </w:r>
                  <w:r>
                    <w:rPr>
                      <w:rFonts w:hint="eastAsia"/>
                      <w:highlight w:val="none"/>
                      <w:lang w:eastAsia="zh-CN"/>
                    </w:rPr>
                    <w:t>、</w:t>
                  </w:r>
                  <w:r>
                    <w:rPr>
                      <w:highlight w:val="none"/>
                    </w:rPr>
                    <w:t>润滑油桶及润滑</w:t>
                  </w:r>
                  <w:r>
                    <w:rPr>
                      <w:rFonts w:hint="eastAsia"/>
                      <w:highlight w:val="none"/>
                      <w:lang w:val="en-US" w:eastAsia="zh-CN"/>
                    </w:rPr>
                    <w:t>脂</w:t>
                  </w:r>
                  <w:r>
                    <w:rPr>
                      <w:highlight w:val="none"/>
                    </w:rPr>
                    <w:t>桶。本项目将按照国家和省有关规定单独收集，暂存于危废暂存间内，委托有资质单位处理处置。</w:t>
                  </w:r>
                </w:p>
              </w:tc>
              <w:tc>
                <w:tcPr>
                  <w:tcW w:w="783"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w:t>
                  </w:r>
                </w:p>
              </w:tc>
            </w:tr>
          </w:tbl>
          <w:p>
            <w:pPr>
              <w:pStyle w:val="8"/>
              <w:ind w:firstLine="480"/>
              <w:rPr>
                <w:highlight w:val="none"/>
                <w:lang w:eastAsia="zh-CN"/>
              </w:rPr>
            </w:pPr>
            <w:r>
              <w:rPr>
                <w:rFonts w:hint="eastAsia"/>
                <w:highlight w:val="none"/>
                <w:lang w:eastAsia="zh-CN"/>
              </w:rPr>
              <w:t>由上表分析可知，本项目符合《巢湖流域水污染防治条例》相关要求。</w:t>
            </w:r>
          </w:p>
          <w:p>
            <w:pPr>
              <w:pStyle w:val="8"/>
              <w:ind w:firstLine="480"/>
              <w:rPr>
                <w:highlight w:val="none"/>
                <w:lang w:eastAsia="zh-CN"/>
              </w:rPr>
            </w:pPr>
            <w:r>
              <w:rPr>
                <w:rFonts w:hint="eastAsia"/>
                <w:highlight w:val="none"/>
                <w:lang w:eastAsia="zh-CN"/>
              </w:rPr>
              <w:t>（2）与《巢湖流域禁止和限制的产业、产品目录》符合性分析</w:t>
            </w:r>
          </w:p>
          <w:p>
            <w:pPr>
              <w:pStyle w:val="18"/>
              <w:rPr>
                <w:highlight w:val="none"/>
                <w:lang w:eastAsia="zh-CN"/>
              </w:rPr>
            </w:pPr>
            <w:r>
              <w:rPr>
                <w:rFonts w:hint="eastAsia"/>
                <w:highlight w:val="none"/>
                <w:lang w:eastAsia="zh-CN"/>
              </w:rPr>
              <w:t>表 1-5  本项目与《巢湖流域禁止和限制的产业、产品目录》（皖发改环资〔2021〕6号文）符合性分析</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5"/>
              <w:gridCol w:w="3225"/>
              <w:gridCol w:w="1940"/>
              <w:gridCol w:w="1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jc w:val="center"/>
              </w:trPr>
              <w:tc>
                <w:tcPr>
                  <w:tcW w:w="3880" w:type="dxa"/>
                  <w:gridSpan w:val="2"/>
                  <w:vAlign w:val="center"/>
                </w:tcPr>
                <w:p>
                  <w:pPr>
                    <w:pStyle w:val="17"/>
                    <w:rPr>
                      <w:highlight w:val="none"/>
                    </w:rPr>
                  </w:pPr>
                  <w:r>
                    <w:rPr>
                      <w:rFonts w:hint="eastAsia"/>
                      <w:highlight w:val="none"/>
                    </w:rPr>
                    <w:t>相关要求</w:t>
                  </w:r>
                </w:p>
              </w:tc>
              <w:tc>
                <w:tcPr>
                  <w:tcW w:w="1940" w:type="dxa"/>
                  <w:vAlign w:val="center"/>
                </w:tcPr>
                <w:p>
                  <w:pPr>
                    <w:pStyle w:val="17"/>
                    <w:rPr>
                      <w:highlight w:val="none"/>
                    </w:rPr>
                  </w:pPr>
                  <w:r>
                    <w:rPr>
                      <w:highlight w:val="none"/>
                    </w:rPr>
                    <w:t>本项目情况</w:t>
                  </w:r>
                </w:p>
              </w:tc>
              <w:tc>
                <w:tcPr>
                  <w:tcW w:w="1940" w:type="dxa"/>
                  <w:vAlign w:val="center"/>
                </w:tcPr>
                <w:p>
                  <w:pPr>
                    <w:pStyle w:val="17"/>
                    <w:rPr>
                      <w:highlight w:val="none"/>
                    </w:rPr>
                  </w:pPr>
                  <w:r>
                    <w:rPr>
                      <w:highlight w:val="none"/>
                    </w:rPr>
                    <w:t>是否相符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655" w:type="dxa"/>
                  <w:vMerge w:val="restart"/>
                  <w:vAlign w:val="center"/>
                </w:tcPr>
                <w:p>
                  <w:pPr>
                    <w:pStyle w:val="17"/>
                    <w:rPr>
                      <w:highlight w:val="none"/>
                    </w:rPr>
                  </w:pPr>
                  <w:r>
                    <w:rPr>
                      <w:highlight w:val="none"/>
                    </w:rPr>
                    <w:t>一、水环境三级保护区</w:t>
                  </w:r>
                </w:p>
              </w:tc>
              <w:tc>
                <w:tcPr>
                  <w:tcW w:w="3225" w:type="dxa"/>
                  <w:vAlign w:val="center"/>
                </w:tcPr>
                <w:p>
                  <w:pPr>
                    <w:pStyle w:val="17"/>
                    <w:jc w:val="left"/>
                    <w:rPr>
                      <w:highlight w:val="none"/>
                    </w:rPr>
                  </w:pPr>
                  <w:r>
                    <w:rPr>
                      <w:highlight w:val="none"/>
                    </w:rPr>
                    <w:t>（一）禁止类</w:t>
                  </w:r>
                </w:p>
                <w:p>
                  <w:pPr>
                    <w:pStyle w:val="17"/>
                    <w:jc w:val="left"/>
                    <w:rPr>
                      <w:highlight w:val="none"/>
                    </w:rPr>
                  </w:pPr>
                  <w:r>
                    <w:rPr>
                      <w:highlight w:val="none"/>
                    </w:rPr>
                    <w:t>1．化学制浆造纸（新建企业）</w:t>
                  </w:r>
                </w:p>
                <w:p>
                  <w:pPr>
                    <w:pStyle w:val="17"/>
                    <w:jc w:val="left"/>
                    <w:rPr>
                      <w:highlight w:val="none"/>
                    </w:rPr>
                  </w:pPr>
                  <w:r>
                    <w:rPr>
                      <w:highlight w:val="none"/>
                    </w:rPr>
                    <w:t>2．制革（新建小型项目）</w:t>
                  </w:r>
                </w:p>
                <w:p>
                  <w:pPr>
                    <w:pStyle w:val="17"/>
                    <w:jc w:val="left"/>
                    <w:rPr>
                      <w:highlight w:val="none"/>
                    </w:rPr>
                  </w:pPr>
                  <w:r>
                    <w:rPr>
                      <w:highlight w:val="none"/>
                    </w:rPr>
                    <w:t>3．化工（新建小型项目）</w:t>
                  </w:r>
                </w:p>
                <w:p>
                  <w:pPr>
                    <w:pStyle w:val="17"/>
                    <w:jc w:val="left"/>
                    <w:rPr>
                      <w:highlight w:val="none"/>
                    </w:rPr>
                  </w:pPr>
                  <w:r>
                    <w:rPr>
                      <w:highlight w:val="none"/>
                    </w:rPr>
                    <w:t>4．印染（新建小型项目）</w:t>
                  </w:r>
                </w:p>
                <w:p>
                  <w:pPr>
                    <w:pStyle w:val="17"/>
                    <w:jc w:val="left"/>
                    <w:rPr>
                      <w:highlight w:val="none"/>
                    </w:rPr>
                  </w:pPr>
                  <w:r>
                    <w:rPr>
                      <w:highlight w:val="none"/>
                    </w:rPr>
                    <w:t>5．电镀（新建小型项目）</w:t>
                  </w:r>
                </w:p>
                <w:p>
                  <w:pPr>
                    <w:pStyle w:val="17"/>
                    <w:jc w:val="left"/>
                    <w:rPr>
                      <w:highlight w:val="none"/>
                    </w:rPr>
                  </w:pPr>
                  <w:r>
                    <w:rPr>
                      <w:highlight w:val="none"/>
                    </w:rPr>
                    <w:t>6．酿造（新建小型项目）</w:t>
                  </w:r>
                </w:p>
                <w:p>
                  <w:pPr>
                    <w:pStyle w:val="17"/>
                    <w:jc w:val="left"/>
                    <w:rPr>
                      <w:highlight w:val="none"/>
                    </w:rPr>
                  </w:pPr>
                  <w:r>
                    <w:rPr>
                      <w:highlight w:val="none"/>
                    </w:rPr>
                    <w:t>7．水泥（新建小型项目）</w:t>
                  </w:r>
                </w:p>
                <w:p>
                  <w:pPr>
                    <w:pStyle w:val="17"/>
                    <w:jc w:val="left"/>
                    <w:rPr>
                      <w:highlight w:val="none"/>
                    </w:rPr>
                  </w:pPr>
                  <w:r>
                    <w:rPr>
                      <w:highlight w:val="none"/>
                    </w:rPr>
                    <w:t>8．石棉（新建小型项目）</w:t>
                  </w:r>
                </w:p>
                <w:p>
                  <w:pPr>
                    <w:pStyle w:val="17"/>
                    <w:jc w:val="left"/>
                    <w:rPr>
                      <w:highlight w:val="none"/>
                    </w:rPr>
                  </w:pPr>
                  <w:r>
                    <w:rPr>
                      <w:highlight w:val="none"/>
                    </w:rPr>
                    <w:t>9．玻璃（新建小型项目）</w:t>
                  </w:r>
                </w:p>
                <w:p>
                  <w:pPr>
                    <w:pStyle w:val="17"/>
                    <w:jc w:val="left"/>
                    <w:rPr>
                      <w:highlight w:val="none"/>
                    </w:rPr>
                  </w:pPr>
                  <w:r>
                    <w:rPr>
                      <w:highlight w:val="none"/>
                    </w:rPr>
                    <w:t>10．其他</w:t>
                  </w:r>
                </w:p>
                <w:p>
                  <w:pPr>
                    <w:pStyle w:val="17"/>
                    <w:jc w:val="left"/>
                    <w:rPr>
                      <w:highlight w:val="none"/>
                    </w:rPr>
                  </w:pPr>
                  <w:r>
                    <w:rPr>
                      <w:highlight w:val="none"/>
                    </w:rPr>
                    <w:t>（1）销售、使用含磷洗涤用品</w:t>
                  </w:r>
                </w:p>
                <w:p>
                  <w:pPr>
                    <w:pStyle w:val="17"/>
                    <w:jc w:val="left"/>
                    <w:rPr>
                      <w:highlight w:val="none"/>
                    </w:rPr>
                  </w:pPr>
                  <w:r>
                    <w:rPr>
                      <w:highlight w:val="none"/>
                    </w:rPr>
                    <w:t>（2）围湖造地</w:t>
                  </w:r>
                </w:p>
                <w:p>
                  <w:pPr>
                    <w:pStyle w:val="17"/>
                    <w:jc w:val="left"/>
                    <w:rPr>
                      <w:highlight w:val="none"/>
                    </w:rPr>
                  </w:pPr>
                  <w:r>
                    <w:rPr>
                      <w:highlight w:val="none"/>
                    </w:rPr>
                    <w:t>（3）法律、法规禁止的其他行为</w:t>
                  </w:r>
                </w:p>
              </w:tc>
              <w:tc>
                <w:tcPr>
                  <w:tcW w:w="1940" w:type="dxa"/>
                  <w:vAlign w:val="center"/>
                </w:tcPr>
                <w:p>
                  <w:pPr>
                    <w:pStyle w:val="17"/>
                    <w:rPr>
                      <w:highlight w:val="none"/>
                    </w:rPr>
                  </w:pPr>
                  <w:r>
                    <w:rPr>
                      <w:highlight w:val="none"/>
                    </w:rPr>
                    <w:t>本项目不属于前述禁止类项目</w:t>
                  </w:r>
                </w:p>
              </w:tc>
              <w:tc>
                <w:tcPr>
                  <w:tcW w:w="1940" w:type="dxa"/>
                  <w:vAlign w:val="center"/>
                </w:tcPr>
                <w:p>
                  <w:pPr>
                    <w:pStyle w:val="17"/>
                    <w:rPr>
                      <w:highlight w:val="none"/>
                    </w:rPr>
                  </w:pPr>
                  <w:r>
                    <w:rPr>
                      <w:highlight w:val="none"/>
                    </w:rPr>
                    <w:t>本项目不在巢湖流域水环境三级保护区禁止类产业产品目录内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jc w:val="center"/>
              </w:trPr>
              <w:tc>
                <w:tcPr>
                  <w:tcW w:w="655" w:type="dxa"/>
                  <w:vMerge w:val="continue"/>
                  <w:vAlign w:val="center"/>
                </w:tcPr>
                <w:p>
                  <w:pPr>
                    <w:pStyle w:val="17"/>
                    <w:rPr>
                      <w:highlight w:val="none"/>
                    </w:rPr>
                  </w:pPr>
                </w:p>
              </w:tc>
              <w:tc>
                <w:tcPr>
                  <w:tcW w:w="3225" w:type="dxa"/>
                  <w:vAlign w:val="center"/>
                </w:tcPr>
                <w:p>
                  <w:pPr>
                    <w:pStyle w:val="17"/>
                    <w:jc w:val="left"/>
                    <w:rPr>
                      <w:highlight w:val="none"/>
                    </w:rPr>
                  </w:pPr>
                  <w:r>
                    <w:rPr>
                      <w:highlight w:val="none"/>
                    </w:rPr>
                    <w:t>（二）限制类：</w:t>
                  </w:r>
                </w:p>
                <w:p>
                  <w:pPr>
                    <w:pStyle w:val="17"/>
                    <w:jc w:val="left"/>
                    <w:rPr>
                      <w:highlight w:val="none"/>
                    </w:rPr>
                  </w:pPr>
                  <w:r>
                    <w:rPr>
                      <w:highlight w:val="none"/>
                    </w:rPr>
                    <w:t>1．制革（新建大中型项目）</w:t>
                  </w:r>
                </w:p>
                <w:p>
                  <w:pPr>
                    <w:pStyle w:val="17"/>
                    <w:jc w:val="left"/>
                    <w:rPr>
                      <w:highlight w:val="none"/>
                    </w:rPr>
                  </w:pPr>
                  <w:r>
                    <w:rPr>
                      <w:highlight w:val="none"/>
                    </w:rPr>
                    <w:t>2．化工（新建大中型项目）</w:t>
                  </w:r>
                </w:p>
                <w:p>
                  <w:pPr>
                    <w:pStyle w:val="17"/>
                    <w:jc w:val="left"/>
                    <w:rPr>
                      <w:highlight w:val="none"/>
                    </w:rPr>
                  </w:pPr>
                  <w:r>
                    <w:rPr>
                      <w:highlight w:val="none"/>
                    </w:rPr>
                    <w:t>3．印染（新建大中型项目）</w:t>
                  </w:r>
                </w:p>
                <w:p>
                  <w:pPr>
                    <w:pStyle w:val="17"/>
                    <w:jc w:val="left"/>
                    <w:rPr>
                      <w:highlight w:val="none"/>
                    </w:rPr>
                  </w:pPr>
                  <w:r>
                    <w:rPr>
                      <w:highlight w:val="none"/>
                    </w:rPr>
                    <w:t>4．电镀（新建大中型项目）</w:t>
                  </w:r>
                </w:p>
                <w:p>
                  <w:pPr>
                    <w:pStyle w:val="17"/>
                    <w:jc w:val="left"/>
                    <w:rPr>
                      <w:highlight w:val="none"/>
                    </w:rPr>
                  </w:pPr>
                  <w:r>
                    <w:rPr>
                      <w:highlight w:val="none"/>
                    </w:rPr>
                    <w:t>5．酿造（新建大中型项目）</w:t>
                  </w:r>
                </w:p>
                <w:p>
                  <w:pPr>
                    <w:pStyle w:val="17"/>
                    <w:jc w:val="left"/>
                    <w:rPr>
                      <w:highlight w:val="none"/>
                    </w:rPr>
                  </w:pPr>
                  <w:r>
                    <w:rPr>
                      <w:highlight w:val="none"/>
                    </w:rPr>
                    <w:t>6．水泥（新建大中型项目）</w:t>
                  </w:r>
                </w:p>
                <w:p>
                  <w:pPr>
                    <w:pStyle w:val="17"/>
                    <w:jc w:val="left"/>
                    <w:rPr>
                      <w:highlight w:val="none"/>
                    </w:rPr>
                  </w:pPr>
                  <w:r>
                    <w:rPr>
                      <w:highlight w:val="none"/>
                    </w:rPr>
                    <w:t>7．石棉（新建大中型项目）</w:t>
                  </w:r>
                </w:p>
                <w:p>
                  <w:pPr>
                    <w:pStyle w:val="17"/>
                    <w:jc w:val="left"/>
                    <w:rPr>
                      <w:highlight w:val="none"/>
                    </w:rPr>
                  </w:pPr>
                  <w:r>
                    <w:rPr>
                      <w:highlight w:val="none"/>
                    </w:rPr>
                    <w:t>8．玻璃（新建大中型项目）</w:t>
                  </w:r>
                </w:p>
              </w:tc>
              <w:tc>
                <w:tcPr>
                  <w:tcW w:w="1940" w:type="dxa"/>
                  <w:vAlign w:val="center"/>
                </w:tcPr>
                <w:p>
                  <w:pPr>
                    <w:pStyle w:val="17"/>
                    <w:rPr>
                      <w:highlight w:val="none"/>
                    </w:rPr>
                  </w:pPr>
                  <w:r>
                    <w:rPr>
                      <w:highlight w:val="none"/>
                    </w:rPr>
                    <w:t>本项目不属于前述限制类项目</w:t>
                  </w:r>
                </w:p>
              </w:tc>
              <w:tc>
                <w:tcPr>
                  <w:tcW w:w="1940" w:type="dxa"/>
                  <w:vAlign w:val="center"/>
                </w:tcPr>
                <w:p>
                  <w:pPr>
                    <w:pStyle w:val="17"/>
                    <w:rPr>
                      <w:highlight w:val="none"/>
                    </w:rPr>
                  </w:pPr>
                  <w:r>
                    <w:rPr>
                      <w:highlight w:val="none"/>
                    </w:rPr>
                    <w:t>本项目不在巢湖流域水环境三级保护区限制类项目产品目录类</w:t>
                  </w:r>
                </w:p>
              </w:tc>
            </w:tr>
          </w:tbl>
          <w:p>
            <w:pPr>
              <w:pStyle w:val="8"/>
              <w:ind w:firstLine="480"/>
              <w:rPr>
                <w:highlight w:val="none"/>
                <w:lang w:eastAsia="zh-CN"/>
              </w:rPr>
            </w:pPr>
            <w:r>
              <w:rPr>
                <w:rFonts w:hint="eastAsia"/>
                <w:highlight w:val="none"/>
                <w:lang w:eastAsia="zh-CN"/>
              </w:rPr>
              <w:t>由上表可知，本项目不在《巢湖流域禁止和限制的产业、产品目录》范围内。</w:t>
            </w:r>
          </w:p>
          <w:p>
            <w:pPr>
              <w:pStyle w:val="8"/>
              <w:ind w:firstLine="482"/>
              <w:rPr>
                <w:b/>
                <w:bCs/>
                <w:highlight w:val="none"/>
                <w:lang w:eastAsia="zh-CN"/>
              </w:rPr>
            </w:pPr>
            <w:r>
              <w:rPr>
                <w:rFonts w:hint="eastAsia"/>
                <w:b/>
                <w:bCs/>
                <w:highlight w:val="none"/>
                <w:lang w:eastAsia="zh-CN"/>
              </w:rPr>
              <w:t>4、与生态环境分区管控要求符合性分析</w:t>
            </w:r>
          </w:p>
          <w:p>
            <w:pPr>
              <w:pStyle w:val="8"/>
              <w:ind w:firstLine="480"/>
              <w:rPr>
                <w:highlight w:val="none"/>
                <w:lang w:eastAsia="zh-CN"/>
              </w:rPr>
            </w:pPr>
            <w:r>
              <w:rPr>
                <w:rFonts w:hint="eastAsia"/>
                <w:highlight w:val="none"/>
                <w:lang w:eastAsia="zh-CN"/>
              </w:rPr>
              <w:t>（1）与合肥市生态环境分区管控成果的符合性</w:t>
            </w:r>
          </w:p>
          <w:p>
            <w:pPr>
              <w:pStyle w:val="18"/>
              <w:rPr>
                <w:highlight w:val="none"/>
                <w:lang w:eastAsia="zh-CN"/>
              </w:rPr>
            </w:pPr>
            <w:r>
              <w:rPr>
                <w:rFonts w:hint="eastAsia"/>
                <w:highlight w:val="none"/>
                <w:lang w:eastAsia="zh-CN"/>
              </w:rPr>
              <w:t>表 1-6    与合肥市生态环境分区管控成果的相符性</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2"/>
              <w:gridCol w:w="791"/>
              <w:gridCol w:w="3740"/>
              <w:gridCol w:w="1667"/>
              <w:gridCol w:w="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5163"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《长江经济带战略环境评价合肥市“三线一单”文本》要求</w:t>
                  </w:r>
                </w:p>
              </w:tc>
              <w:tc>
                <w:tcPr>
                  <w:tcW w:w="1667"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符合性分析</w:t>
                  </w:r>
                </w:p>
              </w:tc>
              <w:tc>
                <w:tcPr>
                  <w:tcW w:w="82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相符性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423"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生态保护红线</w:t>
                  </w:r>
                </w:p>
              </w:tc>
              <w:tc>
                <w:tcPr>
                  <w:tcW w:w="374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依据《生态保护红线生态环境监督办法（试行）》（国环规生态〔2022〕2号），生态保护红线内，自然保护地核心保护区原则上禁止人为活动，其他区域严格禁止开发性、生产性建设活动，在符合现行法律法规前提下，除国家重大战略项目外，仅允许对生态功能不造成破坏的有限人为活动。</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对生态保护红线内的饮用水水源保护区执行《合肥市饮用水水源保护条例》《合肥市“十四五”生态环境保护规划》相关管控要求；环巢湖湿地执行《中华人民共和国自然保护区条例》《安徽省湿地保护条例》《安徽省湿</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地公园管理办法（试行）》《关于印发巢湖流域禁止和限制的产业产品名录的通知》《合肥市人大常委会关于加强环巢湖十大湿地保护的决定》《深入打好污染防治攻坚战行动方案》《合肥市“十四五”生态环境保护规划》《合肥市湿地保护与发展规划（2013～2030年）》等实施管控；</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天然林、生态公益林等各类林业保护地的管理，按照《合肥市“十四五”林业和园林发展规划》等实施管控。</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对生态保护红线内的国家公园、自然保护区、风景名胜区、森林公园、地质公园、世界自然遗产、湿地公园等各类保护地的管理，按照法律、法规和规章等要求执行。</w:t>
                  </w:r>
                </w:p>
              </w:tc>
              <w:tc>
                <w:tcPr>
                  <w:tcW w:w="1667"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项目位于合肥高新区柏堰科技园宁西路108号马瑞利动力系统（合肥）有限公司厂区内。不在生态红线范围内，也不在当地饮用水源、风景区、自然保护区等生态保护区内，符合生态保护红线要求。</w:t>
                  </w:r>
                </w:p>
              </w:tc>
              <w:tc>
                <w:tcPr>
                  <w:tcW w:w="829"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3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环境质量底线</w:t>
                  </w:r>
                </w:p>
              </w:tc>
              <w:tc>
                <w:tcPr>
                  <w:tcW w:w="791"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水环境</w:t>
                  </w:r>
                </w:p>
              </w:tc>
              <w:tc>
                <w:tcPr>
                  <w:tcW w:w="374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到2025年，地表水水质优良（达到或优于Ⅲ类）断面比例达到80%；到2035年，地表水水质优良（达到或优于Ⅲ类）断面比例达到100%。</w:t>
                  </w:r>
                </w:p>
              </w:tc>
              <w:tc>
                <w:tcPr>
                  <w:tcW w:w="1667"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根据《合肥市水环境分区管控图》，本项目位于工业污染重点管控区。项目餐饮废水经过油水分离器预处理后和生活污水、未可预见废水进入化粪池处理，处理后的废水接入市政污水管网，进入合肥西部组团污水处理厂处理后排入派河截导污工程，最终进入巢湖。不直排水体，不会突破水环境</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质量底线。</w:t>
                  </w:r>
                </w:p>
              </w:tc>
              <w:tc>
                <w:tcPr>
                  <w:tcW w:w="829"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3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791"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374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水环境工业污染重点管控区要求：依据《中华人民共和国水污染防治法》《水污染防治行动计划》《安徽省水污染防治工作方案》《深入打好污染防治攻坚战行动方案》《合肥市水污染防治工作方案》《合肥市“十四五 ”节能减排实施方案》对重点管控区实施管控；依据《安徽省淮河流域水污染防治条例》对淮河流域实施管控；依据《巢湖流域水污染防治条例》《巢湖综合治理绿色发展总体规划》《巢湖流域农业面源污染防治实施方案》《关于建设绿色发展美丽巢湖的意见》《关于印发巢湖流域禁止</w:t>
                  </w:r>
                  <w:r>
                    <w:rPr>
                      <w:rFonts w:hint="eastAsia"/>
                      <w:highlight w:val="none"/>
                    </w:rPr>
                    <w:t>和限制的产业产品名录的通知》《合肥市“十四五 ”生态环境保护规划》《合肥市重点流域水生态环境保护“十四五 ”规划》对巢湖流域实施管控；依据《合肥市水环境保护条例》对合肥市实施管控。</w:t>
                  </w:r>
                </w:p>
              </w:tc>
              <w:tc>
                <w:tcPr>
                  <w:tcW w:w="1667"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82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3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791"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大气环境</w:t>
                  </w:r>
                </w:p>
              </w:tc>
              <w:tc>
                <w:tcPr>
                  <w:tcW w:w="3740" w:type="dxa"/>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2025年合肥市大气环境质量底线（PM</w:t>
                  </w:r>
                  <w:r>
                    <w:rPr>
                      <w:highlight w:val="none"/>
                      <w:vertAlign w:val="subscript"/>
                    </w:rPr>
                    <w:t>2.5</w:t>
                  </w:r>
                  <w:r>
                    <w:rPr>
                      <w:highlight w:val="none"/>
                    </w:rPr>
                    <w:t>年均浓度）目标为34μg/m</w:t>
                  </w:r>
                  <w:r>
                    <w:rPr>
                      <w:highlight w:val="none"/>
                      <w:vertAlign w:val="superscript"/>
                    </w:rPr>
                    <w:t>3</w:t>
                  </w:r>
                  <w:r>
                    <w:rPr>
                      <w:highlight w:val="none"/>
                    </w:rPr>
                    <w:t>，2035年合肥市大气环境质量底线（PM</w:t>
                  </w:r>
                  <w:r>
                    <w:rPr>
                      <w:highlight w:val="none"/>
                      <w:vertAlign w:val="subscript"/>
                    </w:rPr>
                    <w:t>2.5</w:t>
                  </w:r>
                  <w:r>
                    <w:rPr>
                      <w:highlight w:val="none"/>
                    </w:rPr>
                    <w:t>年均浓度）目标为32.4μg/m</w:t>
                  </w:r>
                  <w:r>
                    <w:rPr>
                      <w:highlight w:val="none"/>
                      <w:vertAlign w:val="superscript"/>
                    </w:rPr>
                    <w:t>3</w:t>
                  </w:r>
                  <w:r>
                    <w:rPr>
                      <w:highlight w:val="none"/>
                    </w:rPr>
                    <w:t>。2025年蜀山区大气环境质量底线（PM</w:t>
                  </w:r>
                  <w:r>
                    <w:rPr>
                      <w:highlight w:val="none"/>
                      <w:vertAlign w:val="subscript"/>
                    </w:rPr>
                    <w:t>2.5</w:t>
                  </w:r>
                  <w:r>
                    <w:rPr>
                      <w:highlight w:val="none"/>
                    </w:rPr>
                    <w:t>年均浓度）目标为34μg/m</w:t>
                  </w:r>
                  <w:r>
                    <w:rPr>
                      <w:highlight w:val="none"/>
                      <w:vertAlign w:val="superscript"/>
                    </w:rPr>
                    <w:t>3</w:t>
                  </w:r>
                  <w:r>
                    <w:rPr>
                      <w:highlight w:val="none"/>
                    </w:rPr>
                    <w:t>，2035年蜀山区大气环境质量底线（PM</w:t>
                  </w:r>
                  <w:r>
                    <w:rPr>
                      <w:highlight w:val="none"/>
                      <w:vertAlign w:val="subscript"/>
                    </w:rPr>
                    <w:t>2.5</w:t>
                  </w:r>
                  <w:r>
                    <w:rPr>
                      <w:highlight w:val="none"/>
                    </w:rPr>
                    <w:t>年均浓度）目标为32.4μg/m</w:t>
                  </w:r>
                  <w:r>
                    <w:rPr>
                      <w:highlight w:val="none"/>
                      <w:vertAlign w:val="superscript"/>
                    </w:rPr>
                    <w:t>3</w:t>
                  </w:r>
                  <w:r>
                    <w:rPr>
                      <w:highlight w:val="none"/>
                    </w:rPr>
                    <w:t>。</w:t>
                  </w:r>
                </w:p>
              </w:tc>
              <w:tc>
                <w:tcPr>
                  <w:tcW w:w="1667"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根据《合肥市大气环境分区管控图》，本项目位于受体敏感区重点管控区。</w:t>
                  </w:r>
                  <w:r>
                    <w:rPr>
                      <w:rFonts w:hint="eastAsia"/>
                      <w:highlight w:val="none"/>
                    </w:rPr>
                    <w:t>项目焊接烟尘经自带净化除尘系统处理后达标排放，厨房油烟经油烟净化系统处理后达标排放。</w:t>
                  </w:r>
                </w:p>
              </w:tc>
              <w:tc>
                <w:tcPr>
                  <w:tcW w:w="829" w:type="dxa"/>
                  <w:vAlign w:val="center"/>
                </w:tcPr>
                <w:p>
                  <w:pPr>
                    <w:keepNext w:val="0"/>
                    <w:keepLines w:val="0"/>
                    <w:pageBreakBefore w:val="0"/>
                    <w:widowControl w:val="0"/>
                    <w:kinsoku/>
                    <w:wordWrap/>
                    <w:overflowPunct/>
                    <w:topLinePunct w:val="0"/>
                    <w:autoSpaceDE w:val="0"/>
                    <w:autoSpaceDN w:val="0"/>
                    <w:bidi w:val="0"/>
                    <w:adjustRightInd w:val="0"/>
                    <w:snapToGrid w:val="0"/>
                    <w:jc w:val="both"/>
                    <w:textAlignment w:val="baseline"/>
                    <w:rPr>
                      <w:highlight w:val="none"/>
                    </w:rPr>
                  </w:pPr>
                  <w:r>
                    <w:rPr>
                      <w:spacing w:val="3"/>
                      <w:sz w:val="20"/>
                      <w:szCs w:val="20"/>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3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791"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3740" w:type="dxa"/>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大气环境重点管控区要求：依据《安徽省大气污染防治条例》《安徽省碳达峰实施方案的通知》《安徽省工业领域碳达峰实施方案》《安徽省城乡建设领域碳达峰实施方案》《关于进一步加强新上“两高 ”项目管理的通知》《合</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肥市“十四五”节能减排实施方案》《合肥市大气污染防治条例》《深入打好污染防治攻坚战行动方案》《合肥市“十四五”节能减排实施方案》《关于深入开展挥发性有机物污染治理工作的通知》《重点行业挥发性有机物治理</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环境管理技术》等要求。在空气质量全面稳定达标排放的前提下新建、改建和扩建项目大气污染物实施“等量替代”，二氧化硫、氮氧化物、颗粒物、挥发性有机物（VOCs）全面执行大气污染物特别排放限值。</w:t>
                  </w:r>
                </w:p>
              </w:tc>
              <w:tc>
                <w:tcPr>
                  <w:tcW w:w="1667"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829" w:type="dxa"/>
                  <w:vAlign w:val="center"/>
                </w:tcPr>
                <w:p>
                  <w:pPr>
                    <w:keepNext w:val="0"/>
                    <w:keepLines w:val="0"/>
                    <w:pageBreakBefore w:val="0"/>
                    <w:widowControl w:val="0"/>
                    <w:kinsoku/>
                    <w:wordWrap/>
                    <w:overflowPunct/>
                    <w:topLinePunct w:val="0"/>
                    <w:autoSpaceDE w:val="0"/>
                    <w:autoSpaceDN w:val="0"/>
                    <w:bidi w:val="0"/>
                    <w:adjustRightInd w:val="0"/>
                    <w:snapToGrid w:val="0"/>
                    <w:jc w:val="both"/>
                    <w:textAlignment w:val="baseline"/>
                    <w:rPr>
                      <w:highlight w:val="none"/>
                    </w:rPr>
                  </w:pPr>
                  <w:r>
                    <w:rPr>
                      <w:spacing w:val="3"/>
                      <w:sz w:val="20"/>
                      <w:szCs w:val="20"/>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63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791"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土壤环境</w:t>
                  </w:r>
                </w:p>
              </w:tc>
              <w:tc>
                <w:tcPr>
                  <w:tcW w:w="3740" w:type="dxa"/>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到2025年土壤污染源得到基本控制，土壤环境质量总体保持稳定，局部有所改善，建设用地土壤环境安全得到进一步保障，土壤环境风险得到进一步管控。受污染耕地安全利用率达到95%左右，污染地块安全利用率达到95%以上；到2030年，全市土壤环境质量稳中向好，农用地和建设用地土壤环境安全得到有效保障，土壤环境风险得到全面管控；受污染耕地安全利用率达到95%以上；重点建设用地安全利用有效保障。[注：2030年目标值为暂定，最终以省定任务目标为准]。</w:t>
                  </w:r>
                </w:p>
              </w:tc>
              <w:tc>
                <w:tcPr>
                  <w:tcW w:w="1667"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根据《合肥市土壤环境风险分区防控图》，本项目位于土壤环境风险一般防控区。项目严格采取环评提出的分区防渗措施，不会对土壤及地下水环境造成影响，不会突破土壤环境风险防控底线。</w:t>
                  </w:r>
                </w:p>
              </w:tc>
              <w:tc>
                <w:tcPr>
                  <w:tcW w:w="829" w:type="dxa"/>
                  <w:vMerge w:val="restart"/>
                  <w:vAlign w:val="center"/>
                </w:tcPr>
                <w:p>
                  <w:pPr>
                    <w:keepNext w:val="0"/>
                    <w:keepLines w:val="0"/>
                    <w:pageBreakBefore w:val="0"/>
                    <w:widowControl w:val="0"/>
                    <w:kinsoku/>
                    <w:wordWrap/>
                    <w:overflowPunct/>
                    <w:topLinePunct w:val="0"/>
                    <w:autoSpaceDE w:val="0"/>
                    <w:autoSpaceDN w:val="0"/>
                    <w:bidi w:val="0"/>
                    <w:adjustRightInd w:val="0"/>
                    <w:snapToGrid w:val="0"/>
                    <w:jc w:val="both"/>
                    <w:textAlignment w:val="baseline"/>
                    <w:rPr>
                      <w:spacing w:val="3"/>
                      <w:sz w:val="20"/>
                      <w:szCs w:val="20"/>
                      <w:highlight w:val="none"/>
                    </w:rPr>
                  </w:pPr>
                  <w:r>
                    <w:rPr>
                      <w:spacing w:val="3"/>
                      <w:sz w:val="20"/>
                      <w:szCs w:val="20"/>
                      <w:highlight w:val="none"/>
                    </w:rPr>
                    <w:t>符合</w:t>
                  </w:r>
                </w:p>
                <w:p>
                  <w:pPr>
                    <w:keepNext w:val="0"/>
                    <w:keepLines w:val="0"/>
                    <w:pageBreakBefore w:val="0"/>
                    <w:widowControl w:val="0"/>
                    <w:kinsoku/>
                    <w:wordWrap/>
                    <w:overflowPunct/>
                    <w:topLinePunct w:val="0"/>
                    <w:autoSpaceDE w:val="0"/>
                    <w:autoSpaceDN w:val="0"/>
                    <w:bidi w:val="0"/>
                    <w:adjustRightInd w:val="0"/>
                    <w:snapToGrid w:val="0"/>
                    <w:jc w:val="both"/>
                    <w:textAlignment w:val="baseline"/>
                    <w:rPr>
                      <w:spacing w:val="3"/>
                      <w:sz w:val="20"/>
                      <w:szCs w:val="20"/>
                      <w:highlight w:val="none"/>
                    </w:rPr>
                  </w:pPr>
                  <w:r>
                    <w:rPr>
                      <w:spacing w:val="3"/>
                      <w:sz w:val="20"/>
                      <w:szCs w:val="20"/>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63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791"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3740" w:type="dxa"/>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土壤环境风险一般防控区要求：依据《中华人民共和国土壤污染防治法》《土壤污染防治行动计划》《安徽省土壤污染防治工作方案》《安徽省“十四五”环境保护规划》《安徽省“十四五”土壤、地下水和农村生态环境保护规划》《安徽省重金属污染防控工作方案》《安徽省“十四五 ”危险废物工业固体废物污染环境防治规划》《安徽省土壤污染防治工作方案》《合肥市“十四五”生态环境保护规划》《合肥市土壤污染防治工作实施方案》等要求对一般管控区实施管控。</w:t>
                  </w:r>
                </w:p>
              </w:tc>
              <w:tc>
                <w:tcPr>
                  <w:tcW w:w="1667"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82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63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资源利用上线</w:t>
                  </w:r>
                </w:p>
              </w:tc>
              <w:tc>
                <w:tcPr>
                  <w:tcW w:w="7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煤炭资源利用上线</w:t>
                  </w:r>
                </w:p>
              </w:tc>
              <w:tc>
                <w:tcPr>
                  <w:tcW w:w="3740" w:type="dxa"/>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到2025年，合肥市煤炭消费比重持续下降，煤炭消费总量下降达到省定目标；到2025年，全市单位地区生产总值能耗比2020年下降13%，力争达到13.5%，重点行业能源利用效率力争基本达到国际或国内先进水平；非化石能源消费占比达到14%左右；可再生能源装机比重提升至37%左右，可再生能源发电量占全市总发电量的比重达到17%左右；清洁能源消费比重提高到30%左右，成为能源消费增量的主体；万元GDP能源消耗降低达到省定要求；到2025年，单位GDP能源消耗、单位GDP二氧化碳排放、非化石能源占一次能源消费比例取得“双降一升”；万元GDP二氧化碳排放降低（%）达到省定要求。</w:t>
                  </w:r>
                </w:p>
              </w:tc>
              <w:tc>
                <w:tcPr>
                  <w:tcW w:w="1667"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本项目以电能为主要能源，不使用高污染燃料。</w:t>
                  </w:r>
                </w:p>
              </w:tc>
              <w:tc>
                <w:tcPr>
                  <w:tcW w:w="829" w:type="dxa"/>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spacing w:val="3"/>
                      <w:sz w:val="20"/>
                      <w:szCs w:val="20"/>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63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79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水资源利用上线</w:t>
                  </w:r>
                </w:p>
              </w:tc>
              <w:tc>
                <w:tcPr>
                  <w:tcW w:w="374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至2025年，合肥市用水总量控制在34.47亿m</w:t>
                  </w:r>
                  <w:r>
                    <w:rPr>
                      <w:highlight w:val="none"/>
                      <w:vertAlign w:val="superscript"/>
                    </w:rPr>
                    <w:t>3</w:t>
                  </w:r>
                  <w:r>
                    <w:rPr>
                      <w:highlight w:val="none"/>
                    </w:rPr>
                    <w:t>以内；非常规水源利用量达到1.75亿m</w:t>
                  </w:r>
                  <w:r>
                    <w:rPr>
                      <w:highlight w:val="none"/>
                      <w:vertAlign w:val="superscript"/>
                    </w:rPr>
                    <w:t>3</w:t>
                  </w:r>
                  <w:r>
                    <w:rPr>
                      <w:highlight w:val="none"/>
                    </w:rPr>
                    <w:t>以上，试点区域再生水回用率提高至35%；万元地区生产总值用水量较2020年下降15.5%、万元工业增加值用水量较2020年下降15.5%、农田灌溉水有效利用系数达到0.58，主要用水指标达到长三角地区先进水平。至2035年，全市用水总量、用水效率控制在省下达指标之内，主要用水指标达到国内先进水平。全市互联互通、互调互济的水资源配置格局形成，水资源集约节约水平国内领先，城乡供水与粮食安全用水全面保障，河湖水系生态健康。</w:t>
                  </w:r>
                </w:p>
              </w:tc>
              <w:tc>
                <w:tcPr>
                  <w:tcW w:w="1667"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本项目用水由市政给水管网提供，主要为职工生活用水、</w:t>
                  </w:r>
                  <w:r>
                    <w:rPr>
                      <w:rFonts w:hint="eastAsia"/>
                      <w:highlight w:val="none"/>
                    </w:rPr>
                    <w:t>餐饮</w:t>
                  </w:r>
                  <w:r>
                    <w:rPr>
                      <w:highlight w:val="none"/>
                    </w:rPr>
                    <w:t>用水</w:t>
                  </w:r>
                  <w:r>
                    <w:rPr>
                      <w:rFonts w:hint="eastAsia"/>
                      <w:highlight w:val="none"/>
                    </w:rPr>
                    <w:t>、未可预见废水</w:t>
                  </w:r>
                  <w:r>
                    <w:rPr>
                      <w:highlight w:val="none"/>
                    </w:rPr>
                    <w:t>，用水量较少，当地自来水厂能够满足项目新鲜水使用需求；且项目不属于高耗水高耗能行业项目，不会突破水资源利用上线。</w:t>
                  </w:r>
                </w:p>
              </w:tc>
              <w:tc>
                <w:tcPr>
                  <w:tcW w:w="829" w:type="dxa"/>
                  <w:vAlign w:val="center"/>
                </w:tcPr>
                <w:p>
                  <w:pPr>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spacing w:val="3"/>
                      <w:sz w:val="20"/>
                      <w:szCs w:val="20"/>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63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791" w:type="dxa"/>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土地资源利用上线</w:t>
                  </w:r>
                </w:p>
              </w:tc>
              <w:tc>
                <w:tcPr>
                  <w:tcW w:w="3740" w:type="dxa"/>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至2025年合肥市耕地保有量不低于4701.2km</w:t>
                  </w:r>
                  <w:r>
                    <w:rPr>
                      <w:highlight w:val="none"/>
                      <w:vertAlign w:val="superscript"/>
                    </w:rPr>
                    <w:t>2</w:t>
                  </w:r>
                  <w:r>
                    <w:rPr>
                      <w:highlight w:val="none"/>
                    </w:rPr>
                    <w:t>，基本农田数量不低于4123.5km</w:t>
                  </w:r>
                  <w:r>
                    <w:rPr>
                      <w:highlight w:val="none"/>
                      <w:vertAlign w:val="superscript"/>
                    </w:rPr>
                    <w:t>2</w:t>
                  </w:r>
                  <w:r>
                    <w:rPr>
                      <w:highlight w:val="none"/>
                    </w:rPr>
                    <w:t>；人均城镇工矿用地控制在100m</w:t>
                  </w:r>
                  <w:r>
                    <w:rPr>
                      <w:highlight w:val="none"/>
                      <w:vertAlign w:val="superscript"/>
                    </w:rPr>
                    <w:t>2</w:t>
                  </w:r>
                  <w:r>
                    <w:rPr>
                      <w:highlight w:val="none"/>
                    </w:rPr>
                    <w:t>，单位国内生产总值建设用地使用面积下降率不低于10%。</w:t>
                  </w:r>
                </w:p>
              </w:tc>
              <w:tc>
                <w:tcPr>
                  <w:tcW w:w="1667" w:type="dxa"/>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本项目无新增用地，用地性质属于工业用地，不会突破土地资源利用上线。</w:t>
                  </w:r>
                </w:p>
              </w:tc>
              <w:tc>
                <w:tcPr>
                  <w:tcW w:w="829" w:type="dxa"/>
                  <w:vAlign w:val="center"/>
                </w:tcPr>
                <w:p>
                  <w:pPr>
                    <w:keepNext w:val="0"/>
                    <w:keepLines w:val="0"/>
                    <w:pageBreakBefore w:val="0"/>
                    <w:widowControl w:val="0"/>
                    <w:kinsoku/>
                    <w:wordWrap/>
                    <w:overflowPunct/>
                    <w:topLinePunct w:val="0"/>
                    <w:autoSpaceDE w:val="0"/>
                    <w:autoSpaceDN w:val="0"/>
                    <w:bidi w:val="0"/>
                    <w:adjustRightInd w:val="0"/>
                    <w:snapToGrid w:val="0"/>
                    <w:jc w:val="both"/>
                    <w:textAlignment w:val="baseline"/>
                    <w:rPr>
                      <w:highlight w:val="none"/>
                    </w:rPr>
                  </w:pPr>
                  <w:r>
                    <w:rPr>
                      <w:spacing w:val="3"/>
                      <w:sz w:val="20"/>
                      <w:szCs w:val="20"/>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jc w:val="center"/>
              </w:trPr>
              <w:tc>
                <w:tcPr>
                  <w:tcW w:w="1423"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生态环境准入清单</w:t>
                  </w:r>
                </w:p>
              </w:tc>
              <w:tc>
                <w:tcPr>
                  <w:tcW w:w="374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合肥市生态环境准入清单以“三线”管控要求为基础，从要素和领域入手，按照空间布局约束、污染物排放管控、环境风险防控、资源开发效率4</w:t>
                  </w:r>
                  <w:r>
                    <w:rPr>
                      <w:rFonts w:hint="eastAsia"/>
                      <w:highlight w:val="none"/>
                    </w:rPr>
                    <w:t>个</w:t>
                  </w:r>
                  <w:r>
                    <w:rPr>
                      <w:highlight w:val="none"/>
                    </w:rPr>
                    <w:t>维度，分别梳理国家和地方相关法律法规及各类规划、计划、政策文件以及战略/规划环评成果，衔接集成既有管理要求，有针对性提出生态环境准入要求。</w:t>
                  </w:r>
                </w:p>
              </w:tc>
              <w:tc>
                <w:tcPr>
                  <w:tcW w:w="1667"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1、经查《产业结构调整指导目录》（2024年本），本项目为汽车零部件及配件制造项</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目，</w:t>
                  </w:r>
                  <w:r>
                    <w:rPr>
                      <w:rFonts w:hint="eastAsia"/>
                      <w:highlight w:val="none"/>
                    </w:rPr>
                    <w:t>不属于其中规定的限制类和淘汰类项目</w:t>
                  </w:r>
                  <w:r>
                    <w:rPr>
                      <w:highlight w:val="none"/>
                    </w:rPr>
                    <w:t>；2、</w:t>
                  </w:r>
                  <w:r>
                    <w:rPr>
                      <w:rFonts w:hint="eastAsia"/>
                      <w:highlight w:val="none"/>
                    </w:rPr>
                    <w:t>本项目</w:t>
                  </w:r>
                  <w:r>
                    <w:rPr>
                      <w:highlight w:val="none"/>
                    </w:rPr>
                    <w:t>不属于高能耗、高污染制造项目，亦不属于《市场准入负面清单（2022年版）》等相关产业政策中禁止或淘汰类项目，不在园区禁止类名单里。</w:t>
                  </w:r>
                </w:p>
              </w:tc>
              <w:tc>
                <w:tcPr>
                  <w:tcW w:w="829" w:type="dxa"/>
                  <w:vAlign w:val="center"/>
                </w:tcPr>
                <w:p>
                  <w:pPr>
                    <w:keepNext w:val="0"/>
                    <w:keepLines w:val="0"/>
                    <w:pageBreakBefore w:val="0"/>
                    <w:widowControl w:val="0"/>
                    <w:kinsoku/>
                    <w:wordWrap/>
                    <w:overflowPunct/>
                    <w:topLinePunct w:val="0"/>
                    <w:autoSpaceDE w:val="0"/>
                    <w:autoSpaceDN w:val="0"/>
                    <w:bidi w:val="0"/>
                    <w:adjustRightInd w:val="0"/>
                    <w:snapToGrid w:val="0"/>
                    <w:jc w:val="both"/>
                    <w:textAlignment w:val="baseline"/>
                    <w:rPr>
                      <w:highlight w:val="none"/>
                      <w:lang w:eastAsia="zh-CN"/>
                    </w:rPr>
                  </w:pPr>
                  <w:r>
                    <w:rPr>
                      <w:spacing w:val="3"/>
                      <w:sz w:val="20"/>
                      <w:szCs w:val="20"/>
                      <w:highlight w:val="none"/>
                      <w:lang w:eastAsia="zh-CN"/>
                    </w:rPr>
                    <w:t>符合</w:t>
                  </w:r>
                </w:p>
              </w:tc>
            </w:tr>
          </w:tbl>
          <w:p>
            <w:pPr>
              <w:pStyle w:val="8"/>
              <w:ind w:firstLine="480"/>
              <w:rPr>
                <w:highlight w:val="none"/>
                <w:lang w:eastAsia="zh-CN"/>
              </w:rPr>
            </w:pPr>
            <w:r>
              <w:rPr>
                <w:highlight w:val="none"/>
                <w:lang w:eastAsia="zh-CN"/>
              </w:rPr>
              <w:t>通过对照合肥市生态环境分区管控成果动态等相关成果要求，本项目规划范围不涉及生态保护红线，</w:t>
            </w:r>
            <w:r>
              <w:rPr>
                <w:rFonts w:hint="eastAsia"/>
                <w:highlight w:val="none"/>
                <w:lang w:eastAsia="zh-CN"/>
              </w:rPr>
              <w:t>符合</w:t>
            </w:r>
            <w:r>
              <w:rPr>
                <w:highlight w:val="none"/>
                <w:lang w:eastAsia="zh-CN"/>
              </w:rPr>
              <w:t>生态环境分区管控成果中明确的合肥市管控区划分要求。</w:t>
            </w:r>
          </w:p>
          <w:p>
            <w:pPr>
              <w:pStyle w:val="8"/>
              <w:ind w:firstLine="480"/>
              <w:rPr>
                <w:highlight w:val="none"/>
                <w:lang w:eastAsia="zh-CN"/>
              </w:rPr>
            </w:pPr>
            <w:r>
              <w:rPr>
                <w:highlight w:val="none"/>
                <w:lang w:eastAsia="zh-CN"/>
              </w:rPr>
              <w:t>①与合肥高新区入区工业项目条件相符性分析</w:t>
            </w:r>
          </w:p>
          <w:p>
            <w:pPr>
              <w:pStyle w:val="18"/>
              <w:rPr>
                <w:highlight w:val="none"/>
                <w:lang w:eastAsia="zh-CN"/>
              </w:rPr>
            </w:pPr>
            <w:r>
              <w:rPr>
                <w:highlight w:val="none"/>
                <w:lang w:eastAsia="zh-CN"/>
              </w:rPr>
              <w:t>表 1-7  合肥高新区入区行业及企业的控制建议表</w:t>
            </w:r>
          </w:p>
          <w:tbl>
            <w:tblPr>
              <w:tblStyle w:val="14"/>
              <w:tblW w:w="76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14"/>
              <w:gridCol w:w="3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行业类别</w:t>
                  </w:r>
                </w:p>
              </w:tc>
              <w:tc>
                <w:tcPr>
                  <w:tcW w:w="3245" w:type="dxa"/>
                </w:tcPr>
                <w:p>
                  <w:pPr>
                    <w:pStyle w:val="17"/>
                    <w:rPr>
                      <w:highlight w:val="none"/>
                    </w:rPr>
                  </w:pPr>
                  <w:r>
                    <w:rPr>
                      <w:highlight w:val="none"/>
                    </w:rPr>
                    <w:t>控制建议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电子信息</w:t>
                  </w:r>
                </w:p>
              </w:tc>
              <w:tc>
                <w:tcPr>
                  <w:tcW w:w="3245" w:type="dxa"/>
                </w:tcPr>
                <w:p>
                  <w:pPr>
                    <w:pStyle w:val="17"/>
                    <w:rPr>
                      <w:highlight w:val="none"/>
                    </w:rPr>
                  </w:pPr>
                  <w:r>
                    <w:rPr>
                      <w:highlight w:val="none"/>
                    </w:rPr>
                    <w:t>优先进入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生物医疗</w:t>
                  </w:r>
                </w:p>
              </w:tc>
              <w:tc>
                <w:tcPr>
                  <w:tcW w:w="3245" w:type="dxa"/>
                </w:tcPr>
                <w:p>
                  <w:pPr>
                    <w:pStyle w:val="17"/>
                    <w:rPr>
                      <w:highlight w:val="none"/>
                    </w:rPr>
                  </w:pPr>
                  <w:r>
                    <w:rPr>
                      <w:highlight w:val="none"/>
                    </w:rPr>
                    <w:t>优先进入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新材料</w:t>
                  </w:r>
                </w:p>
              </w:tc>
              <w:tc>
                <w:tcPr>
                  <w:tcW w:w="3245" w:type="dxa"/>
                </w:tcPr>
                <w:p>
                  <w:pPr>
                    <w:pStyle w:val="17"/>
                    <w:rPr>
                      <w:highlight w:val="none"/>
                    </w:rPr>
                  </w:pPr>
                  <w:r>
                    <w:rPr>
                      <w:highlight w:val="none"/>
                    </w:rPr>
                    <w:t>优先进入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光机电一体化</w:t>
                  </w:r>
                </w:p>
              </w:tc>
              <w:tc>
                <w:tcPr>
                  <w:tcW w:w="3245" w:type="dxa"/>
                </w:tcPr>
                <w:p>
                  <w:pPr>
                    <w:pStyle w:val="17"/>
                    <w:rPr>
                      <w:highlight w:val="none"/>
                    </w:rPr>
                  </w:pPr>
                  <w:r>
                    <w:rPr>
                      <w:highlight w:val="none"/>
                    </w:rPr>
                    <w:t>优先进入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其他高新技术产业</w:t>
                  </w:r>
                </w:p>
              </w:tc>
              <w:tc>
                <w:tcPr>
                  <w:tcW w:w="3245" w:type="dxa"/>
                </w:tcPr>
                <w:p>
                  <w:pPr>
                    <w:pStyle w:val="17"/>
                    <w:rPr>
                      <w:highlight w:val="none"/>
                    </w:rPr>
                  </w:pPr>
                  <w:r>
                    <w:rPr>
                      <w:highlight w:val="none"/>
                    </w:rPr>
                    <w:t>优先进入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化工及化学品原料制造</w:t>
                  </w:r>
                </w:p>
              </w:tc>
              <w:tc>
                <w:tcPr>
                  <w:tcW w:w="3245" w:type="dxa"/>
                </w:tcPr>
                <w:p>
                  <w:pPr>
                    <w:pStyle w:val="17"/>
                    <w:rPr>
                      <w:highlight w:val="none"/>
                    </w:rPr>
                  </w:pPr>
                  <w:r>
                    <w:rPr>
                      <w:highlight w:val="none"/>
                    </w:rPr>
                    <w:t>控制进入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造纸及纸制品业</w:t>
                  </w:r>
                </w:p>
              </w:tc>
              <w:tc>
                <w:tcPr>
                  <w:tcW w:w="3245" w:type="dxa"/>
                </w:tcPr>
                <w:p>
                  <w:pPr>
                    <w:pStyle w:val="17"/>
                    <w:rPr>
                      <w:highlight w:val="none"/>
                    </w:rPr>
                  </w:pPr>
                  <w:r>
                    <w:rPr>
                      <w:highlight w:val="none"/>
                    </w:rPr>
                    <w:t>控制进入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皮革、毛皮、羽绒及其制造业</w:t>
                  </w:r>
                </w:p>
              </w:tc>
              <w:tc>
                <w:tcPr>
                  <w:tcW w:w="3245" w:type="dxa"/>
                </w:tcPr>
                <w:p>
                  <w:pPr>
                    <w:pStyle w:val="17"/>
                    <w:rPr>
                      <w:highlight w:val="none"/>
                    </w:rPr>
                  </w:pPr>
                  <w:r>
                    <w:rPr>
                      <w:highlight w:val="none"/>
                    </w:rPr>
                    <w:t>控制进入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黑色金属冶炼及压延加工业</w:t>
                  </w:r>
                </w:p>
              </w:tc>
              <w:tc>
                <w:tcPr>
                  <w:tcW w:w="3245" w:type="dxa"/>
                </w:tcPr>
                <w:p>
                  <w:pPr>
                    <w:pStyle w:val="17"/>
                    <w:rPr>
                      <w:highlight w:val="none"/>
                    </w:rPr>
                  </w:pPr>
                  <w:r>
                    <w:rPr>
                      <w:highlight w:val="none"/>
                    </w:rPr>
                    <w:t>控制进入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印染类</w:t>
                  </w:r>
                </w:p>
              </w:tc>
              <w:tc>
                <w:tcPr>
                  <w:tcW w:w="3245" w:type="dxa"/>
                </w:tcPr>
                <w:p>
                  <w:pPr>
                    <w:pStyle w:val="17"/>
                    <w:rPr>
                      <w:highlight w:val="none"/>
                    </w:rPr>
                  </w:pPr>
                  <w:r>
                    <w:rPr>
                      <w:highlight w:val="none"/>
                    </w:rPr>
                    <w:t>控制进入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14" w:type="dxa"/>
                </w:tcPr>
                <w:p>
                  <w:pPr>
                    <w:pStyle w:val="17"/>
                    <w:rPr>
                      <w:highlight w:val="none"/>
                    </w:rPr>
                  </w:pPr>
                  <w:r>
                    <w:rPr>
                      <w:highlight w:val="none"/>
                    </w:rPr>
                    <w:t>炼油、产生致癌、致畸、致突变物质的项目</w:t>
                  </w:r>
                </w:p>
              </w:tc>
              <w:tc>
                <w:tcPr>
                  <w:tcW w:w="3245" w:type="dxa"/>
                </w:tcPr>
                <w:p>
                  <w:pPr>
                    <w:pStyle w:val="17"/>
                    <w:rPr>
                      <w:highlight w:val="none"/>
                    </w:rPr>
                  </w:pPr>
                  <w:r>
                    <w:rPr>
                      <w:highlight w:val="none"/>
                    </w:rPr>
                    <w:t>控制进入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59" w:type="dxa"/>
                  <w:gridSpan w:val="2"/>
                </w:tcPr>
                <w:p>
                  <w:pPr>
                    <w:pStyle w:val="17"/>
                    <w:rPr>
                      <w:highlight w:val="none"/>
                    </w:rPr>
                  </w:pPr>
                  <w:r>
                    <w:rPr>
                      <w:highlight w:val="none"/>
                    </w:rPr>
                    <w:t>注：高新技术产业指符合科技部《国家高新技术产业开发区高新技术企业认定条件和办法》（国科发火字〔2000〕324号）和《国家高新技术产业开发区高新技术企业认定条件和办法》（国科发火字〔1996〕18号）文规定的高新技术范围并符合其他认定条件，取得省级科技委颁发的高新技术企业证书的，以及生产的产品符合《中国高新技术产品目录 2006》（国科发计字〔2006〕370号）。</w:t>
                  </w:r>
                </w:p>
              </w:tc>
            </w:tr>
          </w:tbl>
          <w:p>
            <w:pPr>
              <w:pStyle w:val="8"/>
              <w:ind w:firstLine="480"/>
              <w:rPr>
                <w:highlight w:val="none"/>
                <w:lang w:eastAsia="zh-CN"/>
              </w:rPr>
            </w:pPr>
            <w:r>
              <w:rPr>
                <w:highlight w:val="none"/>
                <w:lang w:eastAsia="zh-CN"/>
              </w:rPr>
              <w:t>本项目属于汽车零部件及配件制造项目，对照上表，本项目不属于优先进入产业，同时也不属于控制进入和禁止进入产业，可视为允许进入产业。</w:t>
            </w:r>
          </w:p>
          <w:p>
            <w:pPr>
              <w:pStyle w:val="8"/>
              <w:ind w:firstLine="480"/>
              <w:rPr>
                <w:highlight w:val="none"/>
                <w:lang w:eastAsia="zh-CN"/>
              </w:rPr>
            </w:pPr>
            <w:r>
              <w:rPr>
                <w:highlight w:val="none"/>
                <w:lang w:eastAsia="zh-CN"/>
              </w:rPr>
              <w:t>②与高新区产业发展负面清单对照分析</w:t>
            </w:r>
          </w:p>
          <w:p>
            <w:pPr>
              <w:pStyle w:val="8"/>
              <w:ind w:firstLine="480"/>
              <w:rPr>
                <w:highlight w:val="none"/>
                <w:lang w:eastAsia="zh-CN"/>
              </w:rPr>
            </w:pPr>
            <w:r>
              <w:rPr>
                <w:highlight w:val="none"/>
                <w:lang w:eastAsia="zh-CN"/>
              </w:rPr>
              <w:t>根据《合肥高新技术产业开发区规划环境影响跟踪评价报告书》，高新区产业发展的负面清单如下：</w:t>
            </w:r>
          </w:p>
          <w:p>
            <w:pPr>
              <w:pStyle w:val="18"/>
              <w:rPr>
                <w:highlight w:val="none"/>
                <w:lang w:eastAsia="zh-CN"/>
              </w:rPr>
            </w:pPr>
            <w:r>
              <w:rPr>
                <w:highlight w:val="none"/>
                <w:lang w:eastAsia="zh-CN"/>
              </w:rPr>
              <w:t>表 1-8  高新区产业发展负面清单一览表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
              <w:gridCol w:w="2266"/>
              <w:gridCol w:w="3400"/>
              <w:gridCol w:w="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序号</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合肥高新区产业发展负面清单</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本项目情况</w:t>
                  </w:r>
                </w:p>
              </w:tc>
              <w:tc>
                <w:tcPr>
                  <w:tcW w:w="95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对比分析结果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1</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禁止引进化学制浆造纸、制革、酿造、染料、印染等易增加区域水环境负荷的项目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本项目属于汽车零部件及配件制造项目，不属于</w:t>
                  </w:r>
                  <w:r>
                    <w:rPr>
                      <w:rFonts w:hint="eastAsia"/>
                      <w:highlight w:val="none"/>
                      <w:lang w:val="en-US" w:eastAsia="zh-CN"/>
                    </w:rPr>
                    <w:t>左侧</w:t>
                  </w:r>
                  <w:r>
                    <w:rPr>
                      <w:highlight w:val="none"/>
                    </w:rPr>
                    <w:t>化学制浆造纸、制革、酿造、染料、印染等易增加区域水环境负荷的项目</w:t>
                  </w:r>
                </w:p>
              </w:tc>
              <w:tc>
                <w:tcPr>
                  <w:tcW w:w="95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本项目不在高新区产业发展负面清单内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2</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禁止引进高污染、高能耗、资源性（“两高一资”）项目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本项目属于汽车零部件及配件制造项目，不属于高污染、高能耗、资源性（“两高一资”）项目</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3</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禁止引进纯电镀加工类项目，有电镀工序项目须进入华清（合肥）高科表面处理工程基地</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本项目属于汽车零部件及配件制造项目，不含有电镀工艺</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4</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禁止引进农药项目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本项目不属于农药项目</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5</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禁止引进屠宰及肉类加工、味精制造等项目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本项目不属于屠宰及肉类加工、味精制造等项目</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6</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禁止引进燃烧原（散）煤、重油、渣油、石油焦等高污燃料或者直接燃用各种可燃废物的设施和装置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本项目不涉及燃烧原（散）煤、重油、渣油、石油焦高污染燃料或者直接燃用各种可燃废物的设施和装置</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7</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禁止引进炼油、产生致癌、致畸、致突变物质的项目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项目不涉及炼油、产生致癌、致畸、致突变物质</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8</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禁止引进属于《产业结构调整指导目录（2011年本）》及（2013年修正）限制和淘汰类项目、《外商投资产业指导目录（2015年）》限制和禁止类项目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根据《产业结构调整指导目录》（2024年本），本项目为汽车零部件及配件制造项目，</w:t>
                  </w:r>
                  <w:r>
                    <w:rPr>
                      <w:rFonts w:hint="eastAsia"/>
                      <w:highlight w:val="none"/>
                    </w:rPr>
                    <w:t>不属于其中规定的限制类和淘汰类项目</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9</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禁止引进不符合高新区规划产业定位的项目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本项目属于汽车零部件及配件制造项目，对照合肥高新区规划产业定位及入区工业项目条件，本项目不属于合肥高新区控制进入及禁止进入的行业类别，符合合肥高新区规划产业定位</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10</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禁止引用环境污染严重、污染物排放总量指标未落实的项目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本项目属于汽车零部件及配件制造项目，不属于环境污染严重、污染物排放总量指标未落实的项目</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11</w:t>
                  </w:r>
                </w:p>
              </w:tc>
              <w:tc>
                <w:tcPr>
                  <w:tcW w:w="2266"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禁止引进国家、安徽省明确规定不得审批的建设项目</w:t>
                  </w:r>
                </w:p>
              </w:tc>
              <w:tc>
                <w:tcPr>
                  <w:tcW w:w="340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本项目不属于国家、安徽省明确规定不得审批的建设项目</w:t>
                  </w:r>
                </w:p>
              </w:tc>
              <w:tc>
                <w:tcPr>
                  <w:tcW w:w="95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40" w:type="dxa"/>
                  <w:gridSpan w:val="4"/>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注：相关指南更新时以最新版要求为准</w:t>
                  </w:r>
                </w:p>
              </w:tc>
            </w:tr>
          </w:tbl>
          <w:p>
            <w:pPr>
              <w:pStyle w:val="20"/>
              <w:spacing w:before="49" w:line="219" w:lineRule="auto"/>
              <w:ind w:left="591"/>
              <w:rPr>
                <w:rFonts w:hint="eastAsia"/>
                <w:highlight w:val="none"/>
                <w:lang w:eastAsia="zh-CN"/>
              </w:rPr>
            </w:pPr>
            <w:r>
              <w:rPr>
                <w:spacing w:val="-1"/>
                <w:highlight w:val="none"/>
                <w:lang w:eastAsia="zh-CN"/>
              </w:rPr>
              <w:t>综上，本项目符合合肥市生态环境分区管控成果相关要求。</w:t>
            </w:r>
          </w:p>
          <w:p>
            <w:pPr>
              <w:pStyle w:val="20"/>
              <w:spacing w:before="181" w:line="219" w:lineRule="auto"/>
              <w:ind w:left="599"/>
              <w:rPr>
                <w:rFonts w:hint="eastAsia"/>
                <w:highlight w:val="none"/>
                <w:lang w:eastAsia="zh-CN"/>
              </w:rPr>
            </w:pPr>
            <w:r>
              <w:rPr>
                <w:spacing w:val="-2"/>
                <w:highlight w:val="none"/>
                <w:lang w:eastAsia="zh-CN"/>
              </w:rPr>
              <w:t>（</w:t>
            </w:r>
            <w:r>
              <w:rPr>
                <w:rFonts w:ascii="Times New Roman" w:hAnsi="Times New Roman" w:eastAsia="Times New Roman" w:cs="Times New Roman"/>
                <w:spacing w:val="-2"/>
                <w:highlight w:val="none"/>
                <w:lang w:eastAsia="zh-CN"/>
              </w:rPr>
              <w:t>2</w:t>
            </w:r>
            <w:r>
              <w:rPr>
                <w:spacing w:val="-2"/>
                <w:highlight w:val="none"/>
                <w:lang w:eastAsia="zh-CN"/>
              </w:rPr>
              <w:t>）项目与管控单元相符性分析</w:t>
            </w:r>
          </w:p>
          <w:p>
            <w:pPr>
              <w:pStyle w:val="20"/>
              <w:spacing w:before="26" w:line="354" w:lineRule="auto"/>
              <w:ind w:left="107" w:right="103"/>
              <w:jc w:val="both"/>
              <w:rPr>
                <w:rFonts w:hint="eastAsia"/>
                <w:spacing w:val="-3"/>
                <w:highlight w:val="none"/>
              </w:rPr>
            </w:pPr>
            <w:r>
              <w:rPr>
                <w:spacing w:val="-10"/>
                <w:highlight w:val="none"/>
                <w:lang w:eastAsia="zh-CN"/>
              </w:rPr>
              <w:t>根据《安徽省“三线一单”生态环境分区管控管理办法（暂行）》（皖</w:t>
            </w:r>
            <w:r>
              <w:rPr>
                <w:spacing w:val="-8"/>
                <w:highlight w:val="none"/>
                <w:lang w:eastAsia="zh-CN"/>
              </w:rPr>
              <w:t>环发〔</w:t>
            </w:r>
            <w:r>
              <w:rPr>
                <w:rFonts w:ascii="Times New Roman" w:hAnsi="Times New Roman" w:eastAsia="Times New Roman" w:cs="Times New Roman"/>
                <w:spacing w:val="-8"/>
                <w:highlight w:val="none"/>
                <w:lang w:eastAsia="zh-CN"/>
              </w:rPr>
              <w:t>2022</w:t>
            </w:r>
            <w:r>
              <w:rPr>
                <w:spacing w:val="-8"/>
                <w:highlight w:val="none"/>
                <w:lang w:eastAsia="zh-CN"/>
              </w:rPr>
              <w:t>〕</w:t>
            </w:r>
            <w:r>
              <w:rPr>
                <w:rFonts w:ascii="Times New Roman" w:hAnsi="Times New Roman" w:eastAsia="Times New Roman" w:cs="Times New Roman"/>
                <w:spacing w:val="-8"/>
                <w:highlight w:val="none"/>
                <w:lang w:eastAsia="zh-CN"/>
              </w:rPr>
              <w:t>5</w:t>
            </w:r>
            <w:r>
              <w:rPr>
                <w:spacing w:val="-8"/>
                <w:highlight w:val="none"/>
                <w:lang w:eastAsia="zh-CN"/>
              </w:rPr>
              <w:t>号）及查询安徽省“三线一单”公众服务平台</w:t>
            </w:r>
            <w:r>
              <w:rPr>
                <w:spacing w:val="-1"/>
                <w:highlight w:val="none"/>
                <w:lang w:eastAsia="zh-CN"/>
              </w:rPr>
              <w:t>（</w:t>
            </w:r>
            <w:r>
              <w:rPr>
                <w:highlight w:val="none"/>
              </w:rPr>
              <w:fldChar w:fldCharType="begin"/>
            </w:r>
            <w:r>
              <w:rPr>
                <w:highlight w:val="none"/>
              </w:rPr>
              <w:instrText xml:space="preserve"> HYPERLINK "http://39.145.8.156:1509/ah/public/#/home" </w:instrText>
            </w:r>
            <w:r>
              <w:rPr>
                <w:highlight w:val="none"/>
              </w:rPr>
              <w:fldChar w:fldCharType="separate"/>
            </w:r>
            <w:r>
              <w:rPr>
                <w:rFonts w:ascii="Times New Roman" w:hAnsi="Times New Roman" w:eastAsia="Times New Roman" w:cs="Times New Roman"/>
                <w:spacing w:val="-1"/>
                <w:highlight w:val="none"/>
                <w:lang w:eastAsia="zh-CN"/>
              </w:rPr>
              <w:t>http://39.145.8.156:1509/ah/public/#/home</w:t>
            </w:r>
            <w:r>
              <w:rPr>
                <w:rFonts w:ascii="Times New Roman" w:hAnsi="Times New Roman" w:eastAsia="Times New Roman" w:cs="Times New Roman"/>
                <w:spacing w:val="-1"/>
                <w:highlight w:val="none"/>
                <w:lang w:eastAsia="zh-CN"/>
              </w:rPr>
              <w:fldChar w:fldCharType="end"/>
            </w:r>
            <w:r>
              <w:rPr>
                <w:spacing w:val="-25"/>
                <w:highlight w:val="none"/>
                <w:lang w:eastAsia="zh-CN"/>
              </w:rPr>
              <w:t>），</w:t>
            </w:r>
            <w:r>
              <w:rPr>
                <w:spacing w:val="-1"/>
                <w:highlight w:val="none"/>
                <w:lang w:eastAsia="zh-CN"/>
              </w:rPr>
              <w:t>本项目与</w:t>
            </w:r>
            <w:r>
              <w:rPr>
                <w:rFonts w:ascii="Times New Roman" w:hAnsi="Times New Roman" w:eastAsia="Times New Roman" w:cs="Times New Roman"/>
                <w:spacing w:val="-1"/>
                <w:highlight w:val="none"/>
                <w:lang w:eastAsia="zh-CN"/>
              </w:rPr>
              <w:t>1</w:t>
            </w:r>
            <w:r>
              <w:rPr>
                <w:spacing w:val="-1"/>
                <w:highlight w:val="none"/>
                <w:lang w:eastAsia="zh-CN"/>
              </w:rPr>
              <w:t>个环境管控单元</w:t>
            </w:r>
            <w:r>
              <w:rPr>
                <w:spacing w:val="-2"/>
                <w:highlight w:val="none"/>
                <w:lang w:eastAsia="zh-CN"/>
              </w:rPr>
              <w:t>存在交叠，其中优先保护类</w:t>
            </w:r>
            <w:r>
              <w:rPr>
                <w:rFonts w:ascii="Times New Roman" w:hAnsi="Times New Roman" w:eastAsia="Times New Roman" w:cs="Times New Roman"/>
                <w:spacing w:val="-2"/>
                <w:highlight w:val="none"/>
                <w:lang w:eastAsia="zh-CN"/>
              </w:rPr>
              <w:t>0</w:t>
            </w:r>
            <w:r>
              <w:rPr>
                <w:spacing w:val="-2"/>
                <w:highlight w:val="none"/>
                <w:lang w:eastAsia="zh-CN"/>
              </w:rPr>
              <w:t>个，重点管控类</w:t>
            </w:r>
            <w:r>
              <w:rPr>
                <w:rFonts w:ascii="Times New Roman" w:hAnsi="Times New Roman" w:eastAsia="Times New Roman" w:cs="Times New Roman"/>
                <w:spacing w:val="-2"/>
                <w:highlight w:val="none"/>
                <w:lang w:eastAsia="zh-CN"/>
              </w:rPr>
              <w:t>1</w:t>
            </w:r>
            <w:r>
              <w:rPr>
                <w:spacing w:val="-2"/>
                <w:highlight w:val="none"/>
                <w:lang w:eastAsia="zh-CN"/>
              </w:rPr>
              <w:t>个，一般管控类</w:t>
            </w:r>
            <w:r>
              <w:rPr>
                <w:rFonts w:ascii="Times New Roman" w:hAnsi="Times New Roman" w:eastAsia="Times New Roman" w:cs="Times New Roman"/>
                <w:spacing w:val="-2"/>
                <w:highlight w:val="none"/>
                <w:lang w:eastAsia="zh-CN"/>
              </w:rPr>
              <w:t>0</w:t>
            </w:r>
            <w:r>
              <w:rPr>
                <w:spacing w:val="-3"/>
                <w:highlight w:val="none"/>
                <w:lang w:eastAsia="zh-CN"/>
              </w:rPr>
              <w:t>个（环</w:t>
            </w:r>
            <w:r>
              <w:rPr>
                <w:spacing w:val="-1"/>
                <w:highlight w:val="none"/>
                <w:lang w:eastAsia="zh-CN"/>
              </w:rPr>
              <w:t>境管控单元编码</w:t>
            </w:r>
            <w:r>
              <w:rPr>
                <w:spacing w:val="-57"/>
                <w:highlight w:val="none"/>
                <w:lang w:eastAsia="zh-CN"/>
              </w:rPr>
              <w:t xml:space="preserve"> </w:t>
            </w:r>
            <w:r>
              <w:rPr>
                <w:rFonts w:ascii="Times New Roman" w:hAnsi="Times New Roman" w:eastAsia="Times New Roman" w:cs="Times New Roman"/>
                <w:spacing w:val="-1"/>
                <w:highlight w:val="none"/>
                <w:lang w:eastAsia="zh-CN"/>
              </w:rPr>
              <w:t>ZH34012320052</w:t>
            </w:r>
            <w:r>
              <w:rPr>
                <w:spacing w:val="-8"/>
                <w:highlight w:val="none"/>
                <w:lang w:eastAsia="zh-CN"/>
              </w:rPr>
              <w:t>），</w:t>
            </w:r>
            <w:r>
              <w:rPr>
                <w:spacing w:val="-1"/>
                <w:highlight w:val="none"/>
                <w:lang w:eastAsia="zh-CN"/>
              </w:rPr>
              <w:t>属于环巢湖生态示范区－重点管控单</w:t>
            </w:r>
            <w:r>
              <w:rPr>
                <w:spacing w:val="-3"/>
                <w:highlight w:val="none"/>
                <w:lang w:eastAsia="zh-CN"/>
              </w:rPr>
              <w:t>元</w:t>
            </w:r>
            <w:r>
              <w:rPr>
                <w:rFonts w:ascii="Times New Roman" w:hAnsi="Times New Roman" w:eastAsia="Times New Roman" w:cs="Times New Roman"/>
                <w:spacing w:val="-3"/>
                <w:highlight w:val="none"/>
                <w:lang w:eastAsia="zh-CN"/>
              </w:rPr>
              <w:t>7</w:t>
            </w:r>
            <w:r>
              <w:rPr>
                <w:spacing w:val="-3"/>
                <w:highlight w:val="none"/>
                <w:lang w:eastAsia="zh-CN"/>
              </w:rPr>
              <w:t>。</w:t>
            </w:r>
            <w:r>
              <w:rPr>
                <w:spacing w:val="-3"/>
                <w:highlight w:val="none"/>
              </w:rPr>
              <w:t>具体管控要求符合性分析详见下表：</w:t>
            </w:r>
          </w:p>
          <w:p>
            <w:pPr>
              <w:pStyle w:val="20"/>
              <w:spacing w:before="26" w:line="354" w:lineRule="auto"/>
              <w:ind w:left="107" w:right="103"/>
              <w:jc w:val="center"/>
              <w:rPr>
                <w:rFonts w:hint="eastAsia"/>
                <w:spacing w:val="-3"/>
                <w:highlight w:val="none"/>
              </w:rPr>
            </w:pPr>
            <w:r>
              <w:rPr>
                <w:highlight w:val="none"/>
              </w:rPr>
              <w:drawing>
                <wp:inline distT="0" distB="0" distL="114300" distR="114300">
                  <wp:extent cx="4648835" cy="2062480"/>
                  <wp:effectExtent l="0" t="0" r="18415" b="1397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7"/>
                          <a:stretch>
                            <a:fillRect/>
                          </a:stretch>
                        </pic:blipFill>
                        <pic:spPr>
                          <a:xfrm>
                            <a:off x="0" y="0"/>
                            <a:ext cx="4648835" cy="2062480"/>
                          </a:xfrm>
                          <a:prstGeom prst="rect">
                            <a:avLst/>
                          </a:prstGeom>
                          <a:noFill/>
                          <a:ln>
                            <a:noFill/>
                          </a:ln>
                        </pic:spPr>
                      </pic:pic>
                    </a:graphicData>
                  </a:graphic>
                </wp:inline>
              </w:drawing>
            </w:r>
          </w:p>
          <w:p>
            <w:pPr>
              <w:pStyle w:val="18"/>
              <w:rPr>
                <w:color w:val="auto"/>
                <w:highlight w:val="none"/>
                <w:lang w:eastAsia="zh-CN"/>
              </w:rPr>
            </w:pPr>
            <w:r>
              <w:rPr>
                <w:color w:val="auto"/>
                <w:highlight w:val="none"/>
                <w:lang w:eastAsia="zh-CN"/>
              </w:rPr>
              <w:t>图1-1  本项目在“三线一单”生态环境分区的位置示意图</w:t>
            </w:r>
          </w:p>
          <w:p>
            <w:pPr>
              <w:pStyle w:val="18"/>
              <w:rPr>
                <w:highlight w:val="none"/>
                <w:lang w:eastAsia="zh-CN"/>
              </w:rPr>
            </w:pPr>
            <w:r>
              <w:rPr>
                <w:highlight w:val="none"/>
                <w:lang w:eastAsia="zh-CN"/>
              </w:rPr>
              <w:t>表1-9  本项目与管控单元相符性分析一览表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8"/>
              <w:gridCol w:w="516"/>
              <w:gridCol w:w="4284"/>
              <w:gridCol w:w="1251"/>
              <w:gridCol w:w="6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8" w:type="dxa"/>
                  <w:vAlign w:val="center"/>
                </w:tcPr>
                <w:p>
                  <w:pPr>
                    <w:pStyle w:val="17"/>
                    <w:bidi w:val="0"/>
                    <w:rPr>
                      <w:highlight w:val="none"/>
                    </w:rPr>
                  </w:pPr>
                  <w:r>
                    <w:rPr>
                      <w:highlight w:val="none"/>
                    </w:rPr>
                    <w:t>环境管控单元分类</w:t>
                  </w:r>
                </w:p>
              </w:tc>
              <w:tc>
                <w:tcPr>
                  <w:tcW w:w="516" w:type="dxa"/>
                  <w:vAlign w:val="center"/>
                </w:tcPr>
                <w:p>
                  <w:pPr>
                    <w:pStyle w:val="17"/>
                    <w:bidi w:val="0"/>
                    <w:rPr>
                      <w:highlight w:val="none"/>
                    </w:rPr>
                  </w:pPr>
                  <w:r>
                    <w:rPr>
                      <w:highlight w:val="none"/>
                    </w:rPr>
                    <w:t>名称</w:t>
                  </w:r>
                </w:p>
              </w:tc>
              <w:tc>
                <w:tcPr>
                  <w:tcW w:w="4284" w:type="dxa"/>
                  <w:vAlign w:val="center"/>
                </w:tcPr>
                <w:p>
                  <w:pPr>
                    <w:pStyle w:val="17"/>
                    <w:bidi w:val="0"/>
                    <w:rPr>
                      <w:highlight w:val="none"/>
                    </w:rPr>
                  </w:pPr>
                  <w:r>
                    <w:rPr>
                      <w:highlight w:val="none"/>
                    </w:rPr>
                    <w:t>内容</w:t>
                  </w:r>
                </w:p>
              </w:tc>
              <w:tc>
                <w:tcPr>
                  <w:tcW w:w="1251" w:type="dxa"/>
                  <w:vAlign w:val="center"/>
                </w:tcPr>
                <w:p>
                  <w:pPr>
                    <w:pStyle w:val="17"/>
                    <w:bidi w:val="0"/>
                    <w:rPr>
                      <w:highlight w:val="none"/>
                    </w:rPr>
                  </w:pPr>
                  <w:r>
                    <w:rPr>
                      <w:highlight w:val="none"/>
                    </w:rPr>
                    <w:t>本项目概况</w:t>
                  </w:r>
                </w:p>
              </w:tc>
              <w:tc>
                <w:tcPr>
                  <w:tcW w:w="690" w:type="dxa"/>
                  <w:vAlign w:val="center"/>
                </w:tcPr>
                <w:p>
                  <w:pPr>
                    <w:pStyle w:val="17"/>
                    <w:bidi w:val="0"/>
                    <w:rPr>
                      <w:highlight w:val="none"/>
                    </w:rPr>
                  </w:pPr>
                  <w:r>
                    <w:rPr>
                      <w:highlight w:val="none"/>
                    </w:rPr>
                    <w:t>是否符合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8" w:type="dxa"/>
                  <w:vMerge w:val="restart"/>
                  <w:vAlign w:val="center"/>
                </w:tcPr>
                <w:p>
                  <w:pPr>
                    <w:pStyle w:val="17"/>
                    <w:rPr>
                      <w:highlight w:val="none"/>
                    </w:rPr>
                  </w:pPr>
                  <w:r>
                    <w:rPr>
                      <w:highlight w:val="none"/>
                    </w:rPr>
                    <w:t>重点管控单元（ZH34012320052）</w:t>
                  </w:r>
                </w:p>
              </w:tc>
              <w:tc>
                <w:tcPr>
                  <w:tcW w:w="516" w:type="dxa"/>
                  <w:vAlign w:val="center"/>
                </w:tcPr>
                <w:p>
                  <w:pPr>
                    <w:pStyle w:val="17"/>
                    <w:rPr>
                      <w:highlight w:val="none"/>
                    </w:rPr>
                  </w:pPr>
                  <w:r>
                    <w:rPr>
                      <w:highlight w:val="none"/>
                    </w:rPr>
                    <w:t>空间布局约束</w:t>
                  </w:r>
                </w:p>
              </w:tc>
              <w:tc>
                <w:tcPr>
                  <w:tcW w:w="42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禁止开发建设活动的要求</w:t>
                  </w:r>
                </w:p>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1.在城市城区及其近郊禁止新建、扩建钢铁、有色、石化、水泥、化工等重污染企业。</w:t>
                  </w:r>
                </w:p>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2.禁止新增钢铁、焦化、电解铝、铸造、水泥和平板玻璃等产能；严格执行钢铁、水泥、平板玻璃等行业产能置换实施办法。</w:t>
                  </w:r>
                </w:p>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3.严格执行国家关于“两高”产业准入目录和产能总量控制政策措施。严禁新增钢铁、焦化、电解铝、铸造、水泥和平板玻璃等产能。新、改、扩建涉及大宗物料运输的建设项目，原则上不得采用公路运输。</w:t>
                  </w:r>
                </w:p>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4.在城市规划区内禁止新建、扩建大气污染严重的建设项目。</w:t>
                  </w:r>
                </w:p>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5.严格资源节约和环保准入门槛，转入项目必须符合国家产业政策、资源节约和污染物排放强度要求，避免产业转移中的资源浪费和污染扩散。</w:t>
                  </w:r>
                </w:p>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6.重点区域钢铁、水泥、焦化、石化、化工、有色等行业，二氧化硫、氮氧化物、颗粒物、挥发性有机物（VOCs）排放全面执行大气污染物特别排放限值。</w:t>
                  </w:r>
                </w:p>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7.加大工业涂装、包装印刷等行业低挥发性有机物含量原辅材料替代力度，严格执行涂料、油墨、胶粘剂、清洗剂挥发性有机物含量想爱你之标准，确保生产、销售、进口、等符合标准的产品。</w:t>
                  </w:r>
                </w:p>
                <w:p>
                  <w:pPr>
                    <w:pStyle w:val="17"/>
                    <w:keepNext w:val="0"/>
                    <w:keepLines w:val="0"/>
                    <w:pageBreakBefore w:val="0"/>
                    <w:widowControl w:val="0"/>
                    <w:kinsoku/>
                    <w:wordWrap/>
                    <w:overflowPunct/>
                    <w:topLinePunct w:val="0"/>
                    <w:autoSpaceDE w:val="0"/>
                    <w:autoSpaceDN w:val="0"/>
                    <w:bidi w:val="0"/>
                    <w:adjustRightInd w:val="0"/>
                    <w:snapToGrid w:val="0"/>
                    <w:jc w:val="center"/>
                    <w:textAlignment w:val="baseline"/>
                    <w:rPr>
                      <w:highlight w:val="none"/>
                    </w:rPr>
                  </w:pPr>
                  <w:r>
                    <w:rPr>
                      <w:highlight w:val="none"/>
                    </w:rPr>
                    <w:t>8.严格执行环保保护法律法规、对超过大气和水等污染物排放标准排污 以及超过重点污染物总量控制指标排污的企业，责令限制生产、停产整治等；情节严重的，报经有批准权的地方政府批准，责令停业、关闭。依法打击违反固体废物管理法律法规行为。</w:t>
                  </w:r>
                </w:p>
              </w:tc>
              <w:tc>
                <w:tcPr>
                  <w:tcW w:w="1251" w:type="dxa"/>
                  <w:vAlign w:val="center"/>
                </w:tcPr>
                <w:p>
                  <w:pPr>
                    <w:pStyle w:val="17"/>
                    <w:rPr>
                      <w:highlight w:val="none"/>
                    </w:rPr>
                  </w:pPr>
                  <w:r>
                    <w:rPr>
                      <w:highlight w:val="none"/>
                    </w:rPr>
                    <w:t>本项目行业类别属于C3670 汽车零部件及配件制造项目，根据《安徽省“两高”项目管理目录（试行）》项目不属于“两高”项目，同时本项目亦不属于前述禁止、严禁建设项目及淘汰产业；不属于前述重点区域所列行业，本项目属于扩建项目不属</w:t>
                  </w:r>
                  <w:r>
                    <w:rPr>
                      <w:rFonts w:hint="eastAsia"/>
                      <w:highlight w:val="none"/>
                    </w:rPr>
                    <w:t>于“散乱污企业，本项目采用电能作为能源，不使用落后工艺和设备，项目采取了有效废气处理设施，减少大气污染物的产生和排放。</w:t>
                  </w:r>
                </w:p>
              </w:tc>
              <w:tc>
                <w:tcPr>
                  <w:tcW w:w="690" w:type="dxa"/>
                  <w:vAlign w:val="center"/>
                </w:tcPr>
                <w:p>
                  <w:pPr>
                    <w:pStyle w:val="17"/>
                    <w:rPr>
                      <w:highlight w:val="none"/>
                    </w:rPr>
                  </w:pPr>
                  <w:r>
                    <w:rPr>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8" w:type="dxa"/>
                  <w:vMerge w:val="continue"/>
                  <w:vAlign w:val="center"/>
                </w:tcPr>
                <w:p>
                  <w:pPr>
                    <w:pStyle w:val="17"/>
                    <w:rPr>
                      <w:highlight w:val="none"/>
                    </w:rPr>
                  </w:pPr>
                </w:p>
              </w:tc>
              <w:tc>
                <w:tcPr>
                  <w:tcW w:w="516" w:type="dxa"/>
                  <w:vAlign w:val="center"/>
                </w:tcPr>
                <w:p>
                  <w:pPr>
                    <w:pStyle w:val="17"/>
                    <w:rPr>
                      <w:highlight w:val="none"/>
                    </w:rPr>
                  </w:pPr>
                  <w:r>
                    <w:rPr>
                      <w:highlight w:val="none"/>
                    </w:rPr>
                    <w:t>污染物排放管控</w:t>
                  </w:r>
                </w:p>
              </w:tc>
              <w:tc>
                <w:tcPr>
                  <w:tcW w:w="42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1.企业事业单位和其他生产经营者超过污染物排放标准或者超过重点污染物排放总量控制指标排放污染物的，县级以上人民政府环境保护主管部门可以责令其采取限制生产、停产整治等措施；情节严重的，报经有批准权的人民政府批准，责令停业、关闭。2.积极推进清洁生产审核，对焦化、有色金属、石化、化工、电镀、制革、石油开采、造纸、印染、农副食品加工等行业，全面推进清洁生产改造或清洁化改造。3.建设项目所在水环境控制单元或断面总磷超标的，实施总磷排放量2倍或以上削减替代。所在水环境控制单元或断面总磷达标的，实施总磷排放量等量或以上削减替代。替代量应来源于项目同一水环境控制单元或断面上游拟实施关停、升级改造的工业企业，不得来源于农业源、城镇污水处理厂或已列入流域环境质量改善计划的工业企业。相应的减排措施应确保在项目投产前完成。4.专项整治十大重点行业。制定造纸、焦化、氮肥、有色金属、印染、农副食品加工、原料药制造、制革、农药、电镀等行业专项治理方案，对重点行业企业实施清洁化改造。5.实施技术、工艺、设备等生态化、循环化改造，加快布局分散的企业向园区集中，按要求设置生态隔离带，建设相应的防护工程。6.所有排污单位必须依法实现全面达标排放。逐一排查工业企业排污情况，达标企业应采取措施确保稳定达标；对超标和超总量的企业予以“黄牌 ”警示，一律限制生产或停产整治；对整治仍不能达到要求且情节严重的企业予以“红牌 ”处罚，一律停业、关闭。7.开展经济技术开发区、高新技术产业开发区、出口加工区等工业集聚区水污染治理设施排查和污染治理，全面推行工业集聚区企业废水量、水污染物纳管总量双控制度。集聚区内工业废水必须经预处理达到集中处理要求，方可进入污水集中处理设施。</w:t>
                  </w:r>
                </w:p>
              </w:tc>
              <w:tc>
                <w:tcPr>
                  <w:tcW w:w="1251"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本项目</w:t>
                  </w:r>
                  <w:r>
                    <w:rPr>
                      <w:rFonts w:hint="eastAsia"/>
                      <w:highlight w:val="none"/>
                    </w:rPr>
                    <w:t>属于汽车零部件及配件制造项目，不属于焦化、有色金属、石化、化工、电镀、制革、石油开采、造纸、印染、农副食品加工等行业。</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运营期使用电能不涉及煤炭使用；</w:t>
                  </w:r>
                  <w:r>
                    <w:rPr>
                      <w:rFonts w:hint="eastAsia"/>
                      <w:highlight w:val="none"/>
                    </w:rPr>
                    <w:t>项目焊接烟尘经自带净化除尘系统处理后达标排放，厨房油烟经油烟净化系统处理后达标排放；</w:t>
                  </w:r>
                  <w:r>
                    <w:rPr>
                      <w:highlight w:val="none"/>
                    </w:rPr>
                    <w:t>本项目不涉及重点排放源。</w:t>
                  </w:r>
                </w:p>
              </w:tc>
              <w:tc>
                <w:tcPr>
                  <w:tcW w:w="690" w:type="dxa"/>
                  <w:vAlign w:val="center"/>
                </w:tcPr>
                <w:p>
                  <w:pPr>
                    <w:pStyle w:val="17"/>
                    <w:rPr>
                      <w:highlight w:val="none"/>
                    </w:rPr>
                  </w:pPr>
                  <w:r>
                    <w:rPr>
                      <w:highlight w:val="none"/>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8" w:type="dxa"/>
                  <w:vMerge w:val="continue"/>
                  <w:vAlign w:val="center"/>
                </w:tcPr>
                <w:p>
                  <w:pPr>
                    <w:pStyle w:val="17"/>
                    <w:rPr>
                      <w:highlight w:val="none"/>
                    </w:rPr>
                  </w:pPr>
                </w:p>
              </w:tc>
              <w:tc>
                <w:tcPr>
                  <w:tcW w:w="516" w:type="dxa"/>
                  <w:vAlign w:val="center"/>
                </w:tcPr>
                <w:p>
                  <w:pPr>
                    <w:pStyle w:val="17"/>
                    <w:rPr>
                      <w:highlight w:val="none"/>
                    </w:rPr>
                  </w:pPr>
                  <w:r>
                    <w:rPr>
                      <w:highlight w:val="none"/>
                    </w:rPr>
                    <w:t>资源开发利用率</w:t>
                  </w:r>
                </w:p>
              </w:tc>
              <w:tc>
                <w:tcPr>
                  <w:tcW w:w="4284"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1.严格落实主体功能区规划，在生态脆弱、严重缺水和地下水超采地区，严格控制高耗水新建、改建、扩建项目，推进高耗水企业向水资源条件允许的工业园区集中。对采用列入淘汰目录工艺、技术和装备的项目，不予批准取水许可；未按期淘汰的，有关部门和地方政府要依法严格查处。2.在地面沉降、地裂缝、岩溶塌陷等地质灾害易发区开发利用地下水，应进行地质灾害危险性评估。地下水限采区内不得新增地下水开采量。严控工农业等生产性用水新增地下水开采量；城乡居民生活和特殊水质要求确需增加开采量的，必须通过压减生产性用水，确保不增加现状开采量。3.严格控制开采深层承压水，地热水、矿泉水开发应严格实行取水许可和采矿许可。依法规范机井建设管理，排查登记已建机井，未经批准的和公共供水管网覆盖范围内自备水井，一律予以关闭。4.在地下水超采区，禁止农业、工业建设项目和服务业新增取用中深层地下水，并削减开采量，逐步实现地下水采补平衡。5.城市公共供水管网能够满足用水需要却通过自备取水设施取用地下水的，取水许可不予审批；地下水严重超采地区取用地下水的，取水许可不予审批。6.在城市公共供水管网覆盖的区域内，禁止新建地下水取水井用于餐饮、洗浴、洗车等服务业和小区、单位集中供水等。</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其他资源利用效率要求：土地资源利用效率按照省政府下达给区域各市的要求执行。到2025年，万元GDP用水量消耗比2020年降低12.5%，万元GDP能源消耗降低达到省定要求。对化学原料和化学制品制造业、非金属矿物制品业、黑色金属冶炼及压延加工业、有色金属冶炼和压延加工业、电力热力的生产和供应业等行业新增耗煤（电力行业除外），实施煤炭消费量1.5倍减量替代。新建高耗能项目单位产品（产值）能耗要达到国际先进水平。</w:t>
                  </w:r>
                </w:p>
              </w:tc>
              <w:tc>
                <w:tcPr>
                  <w:tcW w:w="1251" w:type="dxa"/>
                  <w:vAlign w:val="center"/>
                </w:tcPr>
                <w:p>
                  <w:pPr>
                    <w:pStyle w:val="17"/>
                    <w:rPr>
                      <w:highlight w:val="none"/>
                    </w:rPr>
                  </w:pPr>
                  <w:r>
                    <w:rPr>
                      <w:highlight w:val="none"/>
                    </w:rPr>
                    <w:t>本项目不属于高水耗项目；</w:t>
                  </w:r>
                  <w:r>
                    <w:rPr>
                      <w:rFonts w:hint="eastAsia"/>
                      <w:highlight w:val="none"/>
                    </w:rPr>
                    <w:t>不属于淘汰目录工艺、技术和装备的项目；</w:t>
                  </w:r>
                  <w:r>
                    <w:rPr>
                      <w:highlight w:val="none"/>
                    </w:rPr>
                    <w:t>不开采地下水；使用电能，不涉及煤炭使用。</w:t>
                  </w:r>
                </w:p>
              </w:tc>
              <w:tc>
                <w:tcPr>
                  <w:tcW w:w="690" w:type="dxa"/>
                  <w:vAlign w:val="center"/>
                </w:tcPr>
                <w:p>
                  <w:pPr>
                    <w:pStyle w:val="17"/>
                    <w:rPr>
                      <w:highlight w:val="none"/>
                    </w:rPr>
                  </w:pPr>
                  <w:r>
                    <w:rPr>
                      <w:highlight w:val="none"/>
                    </w:rPr>
                    <w:t>符合</w:t>
                  </w:r>
                </w:p>
              </w:tc>
            </w:tr>
          </w:tbl>
          <w:p>
            <w:pPr>
              <w:pStyle w:val="8"/>
              <w:ind w:firstLine="480"/>
              <w:rPr>
                <w:highlight w:val="none"/>
                <w:lang w:eastAsia="zh-CN"/>
              </w:rPr>
            </w:pPr>
            <w:r>
              <w:rPr>
                <w:rFonts w:hint="eastAsia"/>
                <w:highlight w:val="none"/>
                <w:lang w:eastAsia="zh-CN"/>
              </w:rPr>
              <w:t>从上表可知，本项目满足生态环境分区管控要求。</w:t>
            </w:r>
          </w:p>
          <w:p>
            <w:pPr>
              <w:pStyle w:val="8"/>
              <w:ind w:firstLine="480"/>
              <w:rPr>
                <w:highlight w:val="none"/>
                <w:lang w:eastAsia="zh-CN"/>
              </w:rPr>
            </w:pPr>
          </w:p>
        </w:tc>
      </w:tr>
    </w:tbl>
    <w:p>
      <w:pPr>
        <w:rPr>
          <w:lang w:eastAsia="zh-CN"/>
        </w:rPr>
      </w:pPr>
    </w:p>
    <w:p>
      <w:pPr>
        <w:rPr>
          <w:lang w:eastAsia="zh-CN"/>
        </w:rPr>
      </w:pPr>
    </w:p>
    <w:p>
      <w:pPr>
        <w:rPr>
          <w:lang w:eastAsia="zh-CN"/>
        </w:rPr>
        <w:sectPr>
          <w:footerReference r:id="rId5" w:type="default"/>
          <w:pgSz w:w="11906" w:h="16838"/>
          <w:pgMar w:top="1701" w:right="1531" w:bottom="1701" w:left="1531" w:header="851" w:footer="992" w:gutter="0"/>
          <w:pgNumType w:start="1"/>
          <w:cols w:space="425" w:num="1"/>
          <w:docGrid w:type="lines" w:linePitch="312" w:charSpace="0"/>
        </w:sectPr>
      </w:pPr>
    </w:p>
    <w:p>
      <w:pPr>
        <w:spacing w:before="316" w:line="220" w:lineRule="auto"/>
        <w:ind w:left="3012"/>
        <w:outlineLvl w:val="0"/>
        <w:rPr>
          <w:rFonts w:hint="eastAsia" w:ascii="宋体" w:hAnsi="宋体"/>
          <w:sz w:val="30"/>
          <w:szCs w:val="30"/>
        </w:rPr>
      </w:pPr>
      <w:bookmarkStart w:id="0" w:name="bookmark3"/>
      <w:bookmarkEnd w:id="0"/>
      <w:bookmarkStart w:id="1" w:name="bookmark4"/>
      <w:bookmarkEnd w:id="1"/>
      <w:r>
        <w:rPr>
          <w:rFonts w:ascii="宋体" w:hAnsi="宋体"/>
          <w:b/>
          <w:bCs/>
          <w:spacing w:val="-4"/>
          <w:sz w:val="30"/>
          <w:szCs w:val="30"/>
        </w:rPr>
        <w:t>二、建设项目工程分析</w:t>
      </w:r>
    </w:p>
    <w:p>
      <w:pPr>
        <w:spacing w:line="180" w:lineRule="exact"/>
        <w:rPr>
          <w:rFonts w:ascii="Arial" w:hAnsi="Arial" w:eastAsia="Arial" w:cs="Arial"/>
          <w:sz w:val="21"/>
          <w:szCs w:val="21"/>
        </w:rPr>
      </w:pPr>
    </w:p>
    <w:tbl>
      <w:tblPr>
        <w:tblStyle w:val="21"/>
        <w:tblW w:w="8988" w:type="dxa"/>
        <w:tblInd w:w="7" w:type="dxa"/>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fixed"/>
        <w:tblCellMar>
          <w:top w:w="0" w:type="dxa"/>
          <w:left w:w="0" w:type="dxa"/>
          <w:bottom w:w="0" w:type="dxa"/>
          <w:right w:w="0" w:type="dxa"/>
        </w:tblCellMar>
      </w:tblPr>
      <w:tblGrid>
        <w:gridCol w:w="576"/>
        <w:gridCol w:w="8412"/>
      </w:tblGrid>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1943" w:hRule="atLeast"/>
        </w:trPr>
        <w:tc>
          <w:tcPr>
            <w:tcW w:w="576" w:type="dxa"/>
            <w:tcBorders>
              <w:right w:val="single" w:color="000000" w:sz="2" w:space="0"/>
            </w:tcBorders>
            <w:vAlign w:val="center"/>
          </w:tcPr>
          <w:p>
            <w:pPr>
              <w:spacing w:line="240" w:lineRule="auto"/>
              <w:jc w:val="center"/>
              <w:rPr>
                <w:rFonts w:hint="eastAsia" w:ascii="宋体" w:hAnsi="宋体"/>
                <w:szCs w:val="20"/>
                <w:highlight w:val="none"/>
              </w:rPr>
            </w:pPr>
            <w:r>
              <w:rPr>
                <w:highlight w:val="none"/>
              </w:rPr>
              <w:t>建设内容</w:t>
            </w:r>
          </w:p>
        </w:tc>
        <w:tc>
          <w:tcPr>
            <w:tcW w:w="8412" w:type="dxa"/>
            <w:tcBorders>
              <w:left w:val="single" w:color="000000" w:sz="2" w:space="0"/>
            </w:tcBorders>
          </w:tcPr>
          <w:p>
            <w:pPr>
              <w:pStyle w:val="8"/>
              <w:keepNext w:val="0"/>
              <w:keepLines w:val="0"/>
              <w:pageBreakBefore w:val="0"/>
              <w:widowControl/>
              <w:kinsoku/>
              <w:wordWrap/>
              <w:overflowPunct/>
              <w:topLinePunct w:val="0"/>
              <w:autoSpaceDE w:val="0"/>
              <w:autoSpaceDN w:val="0"/>
              <w:bidi w:val="0"/>
              <w:adjustRightInd w:val="0"/>
              <w:snapToGrid w:val="0"/>
              <w:ind w:firstLine="482"/>
              <w:textAlignment w:val="baseline"/>
              <w:rPr>
                <w:b/>
                <w:bCs/>
                <w:highlight w:val="none"/>
                <w:lang w:eastAsia="zh-CN"/>
              </w:rPr>
            </w:pPr>
            <w:r>
              <w:rPr>
                <w:b/>
                <w:bCs/>
                <w:highlight w:val="none"/>
                <w:lang w:eastAsia="zh-CN"/>
              </w:rPr>
              <w:t>1、项目建设背景</w:t>
            </w:r>
          </w:p>
          <w:p>
            <w:pPr>
              <w:pStyle w:val="8"/>
              <w:keepNext w:val="0"/>
              <w:keepLines w:val="0"/>
              <w:pageBreakBefore w:val="0"/>
              <w:widowControl/>
              <w:kinsoku/>
              <w:wordWrap/>
              <w:overflowPunct/>
              <w:topLinePunct w:val="0"/>
              <w:autoSpaceDE w:val="0"/>
              <w:autoSpaceDN w:val="0"/>
              <w:bidi w:val="0"/>
              <w:adjustRightInd w:val="0"/>
              <w:snapToGrid w:val="0"/>
              <w:ind w:firstLine="480"/>
              <w:textAlignment w:val="baseline"/>
              <w:rPr>
                <w:highlight w:val="none"/>
                <w:lang w:eastAsia="zh-CN"/>
              </w:rPr>
            </w:pPr>
            <w:r>
              <w:rPr>
                <w:highlight w:val="none"/>
                <w:lang w:eastAsia="zh-CN"/>
              </w:rPr>
              <w:t>马瑞利动力系统（合肥）有限公司位于合肥市高新技术开发区，主要经营范围为设计、开发、组装、制造和销售汽车发动机关键零部件、满足世界范围内污染物排放标准包括但不限于国Ⅴ和Ⅵ阶段（以及任何它们的升级）污染物排放标准的汽车发动机排放控制装置的关键零部件、摩托车发动机关键零部件、满足世界范围内污染物排放标准包括但不限于国Ⅴ和Ⅵ阶段（以及任何它们的升级）污染物排放标准的摩托车发动机排放控制装置的关键零部件、汽车发动机电子装置关键产品、汽车动力系统及其零部件、汽车变速系统及其零部件；研发汽车发动机领域关键技术等。机械式自动变速器执行器通常由多个部分组成，包括电机、液压泵、液压缸、电磁阀、传感器以及机械传动部件等。从外观上看，它是一个紧凑的集成化组件，一般安装在变速器旁边，通过机械连接与变速器的换挡机构和离合器相连。执行器内部的机械结构较为精密，能够准确地将动力转化为精确的机械动作，以实现换挡和离合器控制。</w:t>
            </w:r>
          </w:p>
          <w:p>
            <w:pPr>
              <w:keepNext w:val="0"/>
              <w:keepLines w:val="0"/>
              <w:pageBreakBefore w:val="0"/>
              <w:widowControl/>
              <w:kinsoku/>
              <w:wordWrap/>
              <w:overflowPunct/>
              <w:topLinePunct w:val="0"/>
              <w:autoSpaceDE w:val="0"/>
              <w:autoSpaceDN w:val="0"/>
              <w:bidi w:val="0"/>
              <w:adjustRightInd w:val="0"/>
              <w:snapToGrid w:val="0"/>
              <w:spacing w:line="359" w:lineRule="auto"/>
              <w:ind w:left="110" w:right="102" w:firstLine="492"/>
              <w:jc w:val="both"/>
              <w:textAlignment w:val="baseline"/>
              <w:rPr>
                <w:rFonts w:hint="eastAsia" w:ascii="宋体" w:hAnsi="宋体"/>
                <w:color w:val="auto"/>
                <w:highlight w:val="none"/>
                <w:lang w:eastAsia="zh-CN"/>
              </w:rPr>
            </w:pPr>
            <w:r>
              <w:rPr>
                <w:rFonts w:ascii="宋体" w:hAnsi="宋体"/>
                <w:color w:val="auto"/>
                <w:highlight w:val="none"/>
                <w:lang w:eastAsia="zh-CN"/>
              </w:rPr>
              <w:t>随着经济的发展，人民生活水平的提高，汽车的交易量也随之增加，汽车制造商对</w:t>
            </w:r>
            <w:r>
              <w:rPr>
                <w:rFonts w:hint="eastAsia" w:ascii="宋体" w:hAnsi="宋体"/>
                <w:color w:val="auto"/>
                <w:highlight w:val="none"/>
                <w:lang w:eastAsia="zh-CN"/>
              </w:rPr>
              <w:t>驻车执行器</w:t>
            </w:r>
            <w:r>
              <w:rPr>
                <w:rFonts w:ascii="宋体" w:hAnsi="宋体"/>
                <w:color w:val="auto"/>
                <w:highlight w:val="none"/>
                <w:lang w:eastAsia="zh-CN"/>
              </w:rPr>
              <w:t>的需求量也越来越多，马瑞利动力系统（合肥）有限公司看准这一市场，发挥技术优势，引进</w:t>
            </w:r>
            <w:r>
              <w:rPr>
                <w:rFonts w:hint="eastAsia" w:ascii="宋体" w:hAnsi="宋体"/>
                <w:color w:val="auto"/>
                <w:highlight w:val="none"/>
                <w:lang w:eastAsia="zh-CN"/>
              </w:rPr>
              <w:t>驻车执行器装配线设备</w:t>
            </w:r>
            <w:r>
              <w:rPr>
                <w:rFonts w:ascii="宋体" w:hAnsi="宋体"/>
                <w:color w:val="auto"/>
                <w:spacing w:val="-4"/>
                <w:highlight w:val="none"/>
                <w:lang w:eastAsia="zh-CN"/>
              </w:rPr>
              <w:t>，拟投资</w:t>
            </w:r>
            <w:r>
              <w:rPr>
                <w:rFonts w:hint="eastAsia" w:cs="Times New Roman"/>
                <w:color w:val="auto"/>
                <w:spacing w:val="-4"/>
                <w:highlight w:val="none"/>
                <w:lang w:eastAsia="zh-CN"/>
              </w:rPr>
              <w:t>18</w:t>
            </w:r>
            <w:r>
              <w:rPr>
                <w:rFonts w:eastAsia="Times New Roman" w:cs="Times New Roman"/>
                <w:color w:val="auto"/>
                <w:spacing w:val="-4"/>
                <w:highlight w:val="none"/>
                <w:lang w:eastAsia="zh-CN"/>
              </w:rPr>
              <w:t>00</w:t>
            </w:r>
            <w:r>
              <w:rPr>
                <w:rFonts w:ascii="宋体" w:hAnsi="宋体"/>
                <w:color w:val="auto"/>
                <w:spacing w:val="-4"/>
                <w:highlight w:val="none"/>
                <w:lang w:eastAsia="zh-CN"/>
              </w:rPr>
              <w:t>万元建设马瑞利动力系统（合肥）有限公司年产</w:t>
            </w:r>
            <w:r>
              <w:rPr>
                <w:rFonts w:hint="eastAsia" w:cs="Times New Roman"/>
                <w:color w:val="auto"/>
                <w:spacing w:val="-5"/>
                <w:highlight w:val="none"/>
                <w:lang w:eastAsia="zh-CN"/>
              </w:rPr>
              <w:t>100万</w:t>
            </w:r>
            <w:r>
              <w:rPr>
                <w:rFonts w:ascii="宋体" w:hAnsi="宋体"/>
                <w:color w:val="auto"/>
                <w:spacing w:val="-5"/>
                <w:highlight w:val="none"/>
                <w:lang w:eastAsia="zh-CN"/>
              </w:rPr>
              <w:t>套机械式自动变速器执行器项目。</w:t>
            </w:r>
            <w:r>
              <w:rPr>
                <w:rFonts w:eastAsia="Times New Roman" w:cs="Times New Roman"/>
                <w:color w:val="auto"/>
                <w:spacing w:val="-5"/>
                <w:highlight w:val="none"/>
                <w:lang w:eastAsia="zh-CN"/>
              </w:rPr>
              <w:t>2025</w:t>
            </w:r>
            <w:r>
              <w:rPr>
                <w:rFonts w:cs="Times New Roman"/>
                <w:color w:val="auto"/>
                <w:spacing w:val="-5"/>
                <w:highlight w:val="none"/>
                <w:lang w:eastAsia="zh-CN"/>
              </w:rPr>
              <w:t>年12月24日</w:t>
            </w:r>
            <w:r>
              <w:rPr>
                <w:rFonts w:ascii="宋体" w:hAnsi="宋体"/>
                <w:color w:val="auto"/>
                <w:spacing w:val="-5"/>
                <w:highlight w:val="none"/>
                <w:lang w:eastAsia="zh-CN"/>
              </w:rPr>
              <w:t>，项目经合肥高新</w:t>
            </w:r>
            <w:r>
              <w:rPr>
                <w:rFonts w:ascii="宋体" w:hAnsi="宋体"/>
                <w:color w:val="auto"/>
                <w:highlight w:val="none"/>
                <w:lang w:eastAsia="zh-CN"/>
              </w:rPr>
              <w:t>区经发局备案，项目代码：</w:t>
            </w:r>
            <w:r>
              <w:rPr>
                <w:rFonts w:hint="eastAsia" w:eastAsia="Times New Roman" w:cs="Times New Roman"/>
                <w:color w:val="auto"/>
                <w:highlight w:val="none"/>
                <w:lang w:eastAsia="zh-CN"/>
              </w:rPr>
              <w:t>2512-340161-04-05-589093</w:t>
            </w:r>
            <w:r>
              <w:rPr>
                <w:rFonts w:ascii="宋体" w:hAnsi="宋体"/>
                <w:color w:val="auto"/>
                <w:spacing w:val="-1"/>
                <w:highlight w:val="none"/>
                <w:lang w:eastAsia="zh-CN"/>
              </w:rPr>
              <w:t>。</w:t>
            </w:r>
          </w:p>
          <w:p>
            <w:pPr>
              <w:keepNext w:val="0"/>
              <w:keepLines w:val="0"/>
              <w:pageBreakBefore w:val="0"/>
              <w:widowControl/>
              <w:kinsoku/>
              <w:wordWrap/>
              <w:overflowPunct/>
              <w:topLinePunct w:val="0"/>
              <w:autoSpaceDE w:val="0"/>
              <w:autoSpaceDN w:val="0"/>
              <w:bidi w:val="0"/>
              <w:adjustRightInd w:val="0"/>
              <w:snapToGrid w:val="0"/>
              <w:spacing w:before="1" w:line="358" w:lineRule="auto"/>
              <w:ind w:left="108" w:right="102" w:firstLine="480"/>
              <w:jc w:val="both"/>
              <w:textAlignment w:val="baseline"/>
              <w:rPr>
                <w:rFonts w:hint="eastAsia" w:ascii="宋体" w:hAnsi="宋体"/>
                <w:highlight w:val="none"/>
                <w:lang w:eastAsia="zh-CN"/>
              </w:rPr>
            </w:pPr>
            <w:r>
              <w:rPr>
                <w:rFonts w:ascii="宋体" w:hAnsi="宋体"/>
                <w:highlight w:val="none"/>
                <w:lang w:eastAsia="zh-CN"/>
              </w:rPr>
              <w:t>根据《中华人民共和国环境保护法》、《中华人民共和国环境影响评价法》、《建设项目环境保护管理条例》等文件有关规定，建设项目需履行环</w:t>
            </w:r>
            <w:r>
              <w:rPr>
                <w:rFonts w:ascii="宋体" w:hAnsi="宋体"/>
                <w:spacing w:val="2"/>
                <w:highlight w:val="none"/>
                <w:lang w:eastAsia="zh-CN"/>
              </w:rPr>
              <w:t>境影响评价手续。根据《国民经济行业分类》（</w:t>
            </w:r>
            <w:r>
              <w:rPr>
                <w:rFonts w:eastAsia="Times New Roman" w:cs="Times New Roman"/>
                <w:highlight w:val="none"/>
                <w:lang w:eastAsia="zh-CN"/>
              </w:rPr>
              <w:t>GB</w:t>
            </w:r>
            <w:r>
              <w:rPr>
                <w:rFonts w:eastAsia="Times New Roman" w:cs="Times New Roman"/>
                <w:spacing w:val="2"/>
                <w:highlight w:val="none"/>
                <w:lang w:eastAsia="zh-CN"/>
              </w:rPr>
              <w:t>/T4754-2017</w:t>
            </w:r>
            <w:r>
              <w:rPr>
                <w:rFonts w:ascii="宋体" w:hAnsi="宋体"/>
                <w:spacing w:val="18"/>
                <w:highlight w:val="none"/>
                <w:lang w:eastAsia="zh-CN"/>
              </w:rPr>
              <w:t>），</w:t>
            </w:r>
            <w:r>
              <w:rPr>
                <w:rFonts w:ascii="宋体" w:hAnsi="宋体"/>
                <w:spacing w:val="2"/>
                <w:highlight w:val="none"/>
                <w:lang w:eastAsia="zh-CN"/>
              </w:rPr>
              <w:t>项目行</w:t>
            </w:r>
            <w:r>
              <w:rPr>
                <w:rFonts w:ascii="宋体" w:hAnsi="宋体"/>
                <w:spacing w:val="-1"/>
                <w:highlight w:val="none"/>
                <w:lang w:eastAsia="zh-CN"/>
              </w:rPr>
              <w:t>业类别为</w:t>
            </w:r>
            <w:r>
              <w:rPr>
                <w:rFonts w:hint="eastAsia" w:ascii="宋体" w:hAnsi="宋体"/>
                <w:spacing w:val="-1"/>
                <w:highlight w:val="none"/>
                <w:lang w:eastAsia="zh-CN"/>
              </w:rPr>
              <w:t>C3670</w:t>
            </w:r>
            <w:r>
              <w:rPr>
                <w:rFonts w:ascii="宋体" w:hAnsi="宋体"/>
                <w:spacing w:val="-1"/>
                <w:highlight w:val="none"/>
                <w:lang w:eastAsia="zh-CN"/>
              </w:rPr>
              <w:t>汽车零部件及配件制造。对照《建设项目环境影响评价分类</w:t>
            </w:r>
            <w:r>
              <w:rPr>
                <w:rFonts w:ascii="宋体" w:hAnsi="宋体"/>
                <w:spacing w:val="1"/>
                <w:highlight w:val="none"/>
                <w:lang w:eastAsia="zh-CN"/>
              </w:rPr>
              <w:t>管理名录（</w:t>
            </w:r>
            <w:r>
              <w:rPr>
                <w:rFonts w:eastAsia="Times New Roman" w:cs="Times New Roman"/>
                <w:spacing w:val="1"/>
                <w:highlight w:val="none"/>
                <w:lang w:eastAsia="zh-CN"/>
              </w:rPr>
              <w:t>2021</w:t>
            </w:r>
            <w:r>
              <w:rPr>
                <w:rFonts w:ascii="宋体" w:hAnsi="宋体"/>
                <w:spacing w:val="1"/>
                <w:highlight w:val="none"/>
                <w:lang w:eastAsia="zh-CN"/>
              </w:rPr>
              <w:t>年版）》项目应编制环境影响报告表，判定依据如下：</w:t>
            </w:r>
          </w:p>
          <w:p>
            <w:pPr>
              <w:pStyle w:val="18"/>
              <w:keepNext w:val="0"/>
              <w:keepLines w:val="0"/>
              <w:pageBreakBefore w:val="0"/>
              <w:widowControl/>
              <w:kinsoku/>
              <w:wordWrap/>
              <w:overflowPunct/>
              <w:topLinePunct w:val="0"/>
              <w:autoSpaceDE w:val="0"/>
              <w:autoSpaceDN w:val="0"/>
              <w:bidi w:val="0"/>
              <w:adjustRightInd w:val="0"/>
              <w:snapToGrid w:val="0"/>
              <w:textAlignment w:val="baseline"/>
              <w:rPr>
                <w:rFonts w:hint="eastAsia" w:ascii="宋体" w:hAnsi="宋体" w:cs="宋体"/>
                <w:bCs/>
                <w:spacing w:val="7"/>
                <w:szCs w:val="20"/>
                <w:highlight w:val="none"/>
                <w:lang w:eastAsia="zh-CN"/>
              </w:rPr>
            </w:pPr>
            <w:r>
              <w:rPr>
                <w:highlight w:val="none"/>
                <w:lang w:eastAsia="zh-CN"/>
              </w:rPr>
              <w:t>表</w:t>
            </w:r>
            <w:r>
              <w:rPr>
                <w:rFonts w:hint="eastAsia"/>
                <w:highlight w:val="none"/>
                <w:lang w:eastAsia="zh-CN"/>
              </w:rPr>
              <w:t xml:space="preserve">2-1  </w:t>
            </w:r>
            <w:r>
              <w:rPr>
                <w:highlight w:val="none"/>
                <w:lang w:eastAsia="zh-CN"/>
              </w:rPr>
              <w:t>《建设项目环境影响评价分类管理名录（2021年版）》（摘录）</w:t>
            </w:r>
          </w:p>
          <w:tbl>
            <w:tblPr>
              <w:tblStyle w:val="14"/>
              <w:tblW w:w="470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3"/>
              <w:gridCol w:w="2532"/>
              <w:gridCol w:w="2578"/>
              <w:gridCol w:w="1382"/>
              <w:gridCol w:w="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6" w:hRule="atLeast"/>
                <w:jc w:val="center"/>
              </w:trPr>
              <w:tc>
                <w:tcPr>
                  <w:tcW w:w="2054" w:type="pct"/>
                  <w:gridSpan w:val="2"/>
                  <w:tcBorders>
                    <w:tl2br w:val="single" w:color="auto" w:sz="4" w:space="0"/>
                  </w:tcBorders>
                  <w:vAlign w:val="center"/>
                </w:tcPr>
                <w:p>
                  <w:pPr>
                    <w:widowControl w:val="0"/>
                    <w:spacing w:line="240" w:lineRule="auto"/>
                    <w:jc w:val="both"/>
                    <w:rPr>
                      <w:rFonts w:cs="Times New Roman"/>
                      <w:b/>
                      <w:bCs/>
                      <w:sz w:val="21"/>
                      <w:szCs w:val="21"/>
                      <w:highlight w:val="none"/>
                      <w:lang w:eastAsia="zh-CN"/>
                    </w:rPr>
                  </w:pPr>
                  <w:r>
                    <w:rPr>
                      <w:rFonts w:hint="eastAsia" w:cs="Times New Roman"/>
                      <w:b/>
                      <w:bCs/>
                      <w:sz w:val="21"/>
                      <w:szCs w:val="21"/>
                      <w:highlight w:val="none"/>
                      <w:lang w:eastAsia="zh-CN"/>
                    </w:rPr>
                    <w:t xml:space="preserve">                </w:t>
                  </w:r>
                  <w:r>
                    <w:rPr>
                      <w:rFonts w:cs="Times New Roman"/>
                      <w:b/>
                      <w:bCs/>
                      <w:sz w:val="21"/>
                      <w:szCs w:val="21"/>
                      <w:highlight w:val="none"/>
                      <w:lang w:eastAsia="zh-CN"/>
                    </w:rPr>
                    <w:t>环评类别</w:t>
                  </w:r>
                </w:p>
                <w:p>
                  <w:pPr>
                    <w:widowControl w:val="0"/>
                    <w:spacing w:line="240" w:lineRule="auto"/>
                    <w:jc w:val="both"/>
                    <w:rPr>
                      <w:rFonts w:cs="Times New Roman"/>
                      <w:b/>
                      <w:bCs/>
                      <w:sz w:val="21"/>
                      <w:szCs w:val="21"/>
                      <w:highlight w:val="none"/>
                      <w:lang w:eastAsia="zh-CN"/>
                    </w:rPr>
                  </w:pPr>
                  <w:r>
                    <w:rPr>
                      <w:rFonts w:cs="Times New Roman"/>
                      <w:b/>
                      <w:bCs/>
                      <w:sz w:val="21"/>
                      <w:szCs w:val="21"/>
                      <w:highlight w:val="none"/>
                      <w:lang w:eastAsia="zh-CN"/>
                    </w:rPr>
                    <w:t>项目类别</w:t>
                  </w:r>
                  <w:r>
                    <w:rPr>
                      <w:rFonts w:hint="eastAsia" w:cs="Times New Roman"/>
                      <w:b/>
                      <w:bCs/>
                      <w:sz w:val="21"/>
                      <w:szCs w:val="21"/>
                      <w:highlight w:val="none"/>
                      <w:lang w:eastAsia="zh-CN"/>
                    </w:rPr>
                    <w:t xml:space="preserve">  </w:t>
                  </w:r>
                </w:p>
              </w:tc>
              <w:tc>
                <w:tcPr>
                  <w:tcW w:w="1632" w:type="pct"/>
                  <w:vAlign w:val="center"/>
                </w:tcPr>
                <w:p>
                  <w:pPr>
                    <w:widowControl w:val="0"/>
                    <w:spacing w:line="240" w:lineRule="auto"/>
                    <w:jc w:val="center"/>
                    <w:rPr>
                      <w:rFonts w:cs="Times New Roman"/>
                      <w:b/>
                      <w:bCs/>
                      <w:sz w:val="21"/>
                      <w:szCs w:val="21"/>
                      <w:highlight w:val="none"/>
                      <w:lang w:eastAsia="zh-CN"/>
                    </w:rPr>
                  </w:pPr>
                  <w:r>
                    <w:rPr>
                      <w:rFonts w:cs="Times New Roman"/>
                      <w:b/>
                      <w:bCs/>
                      <w:sz w:val="21"/>
                      <w:szCs w:val="21"/>
                      <w:highlight w:val="none"/>
                      <w:lang w:eastAsia="zh-CN"/>
                    </w:rPr>
                    <w:t>报告书</w:t>
                  </w:r>
                </w:p>
              </w:tc>
              <w:tc>
                <w:tcPr>
                  <w:tcW w:w="875" w:type="pct"/>
                  <w:vAlign w:val="center"/>
                </w:tcPr>
                <w:p>
                  <w:pPr>
                    <w:widowControl w:val="0"/>
                    <w:spacing w:line="240" w:lineRule="auto"/>
                    <w:jc w:val="center"/>
                    <w:rPr>
                      <w:rFonts w:cs="Times New Roman"/>
                      <w:b/>
                      <w:bCs/>
                      <w:sz w:val="21"/>
                      <w:szCs w:val="21"/>
                      <w:highlight w:val="none"/>
                      <w:lang w:eastAsia="zh-CN"/>
                    </w:rPr>
                  </w:pPr>
                  <w:r>
                    <w:rPr>
                      <w:rFonts w:cs="Times New Roman"/>
                      <w:b/>
                      <w:bCs/>
                      <w:sz w:val="21"/>
                      <w:szCs w:val="21"/>
                      <w:highlight w:val="none"/>
                      <w:lang w:eastAsia="zh-CN"/>
                    </w:rPr>
                    <w:t>报告表</w:t>
                  </w:r>
                </w:p>
              </w:tc>
              <w:tc>
                <w:tcPr>
                  <w:tcW w:w="438" w:type="pct"/>
                  <w:vAlign w:val="center"/>
                </w:tcPr>
                <w:p>
                  <w:pPr>
                    <w:widowControl w:val="0"/>
                    <w:spacing w:line="240" w:lineRule="auto"/>
                    <w:jc w:val="center"/>
                    <w:rPr>
                      <w:rFonts w:cs="Times New Roman"/>
                      <w:b/>
                      <w:bCs/>
                      <w:sz w:val="21"/>
                      <w:szCs w:val="21"/>
                      <w:highlight w:val="none"/>
                      <w:lang w:eastAsia="zh-CN"/>
                    </w:rPr>
                  </w:pPr>
                  <w:r>
                    <w:rPr>
                      <w:rFonts w:cs="Times New Roman"/>
                      <w:b/>
                      <w:bCs/>
                      <w:sz w:val="21"/>
                      <w:szCs w:val="21"/>
                      <w:highlight w:val="none"/>
                      <w:lang w:eastAsia="zh-CN"/>
                    </w:rPr>
                    <w:t>登记表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5000" w:type="pct"/>
                  <w:gridSpan w:val="5"/>
                  <w:vAlign w:val="center"/>
                </w:tcPr>
                <w:p>
                  <w:pPr>
                    <w:widowControl/>
                    <w:spacing w:line="240" w:lineRule="auto"/>
                    <w:jc w:val="center"/>
                    <w:rPr>
                      <w:rFonts w:cs="Times New Roman"/>
                      <w:sz w:val="21"/>
                      <w:szCs w:val="21"/>
                      <w:highlight w:val="none"/>
                      <w:lang w:eastAsia="zh-CN"/>
                    </w:rPr>
                  </w:pPr>
                  <w:r>
                    <w:rPr>
                      <w:rFonts w:cs="Times New Roman"/>
                      <w:sz w:val="21"/>
                      <w:szCs w:val="21"/>
                      <w:highlight w:val="none"/>
                      <w:lang w:eastAsia="zh-CN" w:bidi="ar"/>
                    </w:rPr>
                    <w:t>三十三、汽车制造业 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1" w:hRule="atLeast"/>
                <w:jc w:val="center"/>
              </w:trPr>
              <w:tc>
                <w:tcPr>
                  <w:tcW w:w="451" w:type="pct"/>
                  <w:vAlign w:val="center"/>
                </w:tcPr>
                <w:p>
                  <w:pPr>
                    <w:widowControl/>
                    <w:spacing w:line="240" w:lineRule="auto"/>
                    <w:jc w:val="center"/>
                    <w:rPr>
                      <w:rFonts w:cs="Times New Roman"/>
                      <w:sz w:val="21"/>
                      <w:szCs w:val="21"/>
                      <w:highlight w:val="none"/>
                      <w:lang w:eastAsia="zh-CN"/>
                    </w:rPr>
                  </w:pPr>
                  <w:r>
                    <w:rPr>
                      <w:rFonts w:cs="Times New Roman"/>
                      <w:sz w:val="21"/>
                      <w:szCs w:val="21"/>
                      <w:highlight w:val="none"/>
                      <w:lang w:eastAsia="zh-CN" w:bidi="ar"/>
                    </w:rPr>
                    <w:t>71</w:t>
                  </w:r>
                </w:p>
              </w:tc>
              <w:tc>
                <w:tcPr>
                  <w:tcW w:w="1602" w:type="pct"/>
                  <w:vAlign w:val="center"/>
                </w:tcPr>
                <w:p>
                  <w:pPr>
                    <w:widowControl w:val="0"/>
                    <w:spacing w:line="240" w:lineRule="auto"/>
                    <w:jc w:val="center"/>
                    <w:rPr>
                      <w:rFonts w:cs="Times New Roman"/>
                      <w:sz w:val="21"/>
                      <w:szCs w:val="21"/>
                      <w:highlight w:val="none"/>
                      <w:lang w:eastAsia="zh-CN"/>
                    </w:rPr>
                  </w:pPr>
                  <w:r>
                    <w:rPr>
                      <w:rFonts w:cs="Times New Roman"/>
                      <w:color w:val="333333"/>
                      <w:sz w:val="21"/>
                      <w:szCs w:val="21"/>
                      <w:highlight w:val="none"/>
                      <w:shd w:val="clear" w:color="auto" w:fill="FFFFFF"/>
                      <w:lang w:eastAsia="zh-CN"/>
                    </w:rPr>
                    <w:t>汽车整车制造361；汽车用发动机制造362；改装汽车制造363；低速汽车制造364；电车制造365；汽车车身、挂车制造366；</w:t>
                  </w:r>
                  <w:r>
                    <w:rPr>
                      <w:rFonts w:cs="Times New Roman"/>
                      <w:b/>
                      <w:bCs/>
                      <w:color w:val="333333"/>
                      <w:sz w:val="21"/>
                      <w:szCs w:val="21"/>
                      <w:highlight w:val="none"/>
                      <w:shd w:val="clear" w:color="auto" w:fill="FFFFFF"/>
                      <w:lang w:eastAsia="zh-CN"/>
                    </w:rPr>
                    <w:t>汽车零部件及配件制造367</w:t>
                  </w:r>
                </w:p>
              </w:tc>
              <w:tc>
                <w:tcPr>
                  <w:tcW w:w="1632" w:type="pct"/>
                  <w:vAlign w:val="center"/>
                </w:tcPr>
                <w:p>
                  <w:pPr>
                    <w:widowControl w:val="0"/>
                    <w:spacing w:line="240" w:lineRule="auto"/>
                    <w:jc w:val="center"/>
                    <w:rPr>
                      <w:rFonts w:cs="Times New Roman"/>
                      <w:color w:val="333333"/>
                      <w:sz w:val="21"/>
                      <w:szCs w:val="21"/>
                      <w:highlight w:val="none"/>
                      <w:shd w:val="clear" w:color="auto" w:fill="FFFFFF"/>
                      <w:lang w:eastAsia="zh-CN"/>
                    </w:rPr>
                  </w:pPr>
                  <w:r>
                    <w:rPr>
                      <w:rFonts w:cs="Times New Roman"/>
                      <w:color w:val="333333"/>
                      <w:sz w:val="21"/>
                      <w:szCs w:val="21"/>
                      <w:highlight w:val="none"/>
                      <w:shd w:val="clear" w:color="auto" w:fill="FFFFFF"/>
                      <w:lang w:eastAsia="zh-CN"/>
                    </w:rPr>
                    <w:t>汽车整车制造（仅组装的除外）；汽车用发动机制造（仅组装的除外）；有电镀工艺的；年用溶剂型涂料（含稀释剂）10吨及以上的</w:t>
                  </w:r>
                </w:p>
              </w:tc>
              <w:tc>
                <w:tcPr>
                  <w:tcW w:w="875" w:type="pct"/>
                  <w:vAlign w:val="center"/>
                </w:tcPr>
                <w:p>
                  <w:pPr>
                    <w:widowControl w:val="0"/>
                    <w:spacing w:line="240" w:lineRule="auto"/>
                    <w:jc w:val="center"/>
                    <w:rPr>
                      <w:rFonts w:cs="Times New Roman"/>
                      <w:color w:val="333333"/>
                      <w:sz w:val="21"/>
                      <w:szCs w:val="21"/>
                      <w:highlight w:val="none"/>
                      <w:shd w:val="clear" w:color="auto" w:fill="FFFFFF"/>
                      <w:lang w:eastAsia="zh-CN"/>
                    </w:rPr>
                  </w:pPr>
                  <w:r>
                    <w:rPr>
                      <w:rFonts w:cs="Times New Roman"/>
                      <w:b/>
                      <w:bCs/>
                      <w:color w:val="333333"/>
                      <w:sz w:val="21"/>
                      <w:szCs w:val="21"/>
                      <w:highlight w:val="none"/>
                      <w:shd w:val="clear" w:color="auto" w:fill="FFFFFF"/>
                      <w:lang w:eastAsia="zh-CN"/>
                    </w:rPr>
                    <w:t>其他（年用非溶剂型低VOC</w:t>
                  </w:r>
                  <w:r>
                    <w:rPr>
                      <w:rFonts w:cs="Times New Roman"/>
                      <w:b/>
                      <w:bCs/>
                      <w:color w:val="333333"/>
                      <w:sz w:val="21"/>
                      <w:szCs w:val="21"/>
                      <w:highlight w:val="none"/>
                      <w:shd w:val="clear" w:color="auto" w:fill="FFFFFF"/>
                      <w:vertAlign w:val="subscript"/>
                      <w:lang w:eastAsia="zh-CN"/>
                    </w:rPr>
                    <w:t>S</w:t>
                  </w:r>
                  <w:r>
                    <w:rPr>
                      <w:rFonts w:cs="Times New Roman"/>
                      <w:b/>
                      <w:bCs/>
                      <w:color w:val="333333"/>
                      <w:sz w:val="21"/>
                      <w:szCs w:val="21"/>
                      <w:highlight w:val="none"/>
                      <w:shd w:val="clear" w:color="auto" w:fill="FFFFFF"/>
                      <w:lang w:eastAsia="zh-CN"/>
                    </w:rPr>
                    <w:t>含量涂料10吨以下的除外）</w:t>
                  </w:r>
                </w:p>
              </w:tc>
              <w:tc>
                <w:tcPr>
                  <w:tcW w:w="438" w:type="pct"/>
                  <w:vAlign w:val="center"/>
                </w:tcPr>
                <w:p>
                  <w:pPr>
                    <w:widowControl w:val="0"/>
                    <w:spacing w:line="240" w:lineRule="auto"/>
                    <w:jc w:val="center"/>
                    <w:rPr>
                      <w:rFonts w:cs="Times New Roman"/>
                      <w:sz w:val="21"/>
                      <w:szCs w:val="21"/>
                      <w:highlight w:val="none"/>
                      <w:lang w:eastAsia="zh-CN"/>
                    </w:rPr>
                  </w:pPr>
                  <w:r>
                    <w:rPr>
                      <w:rFonts w:cs="Times New Roman"/>
                      <w:sz w:val="21"/>
                      <w:szCs w:val="21"/>
                      <w:highlight w:val="none"/>
                      <w:lang w:eastAsia="zh-CN"/>
                    </w:rPr>
                    <w:t>/</w:t>
                  </w:r>
                </w:p>
              </w:tc>
            </w:tr>
          </w:tbl>
          <w:p>
            <w:pPr>
              <w:pStyle w:val="8"/>
              <w:ind w:firstLine="480"/>
              <w:rPr>
                <w:rFonts w:hint="eastAsia" w:ascii="宋体" w:hAnsi="宋体"/>
                <w:b/>
                <w:bCs/>
                <w:spacing w:val="7"/>
                <w:szCs w:val="20"/>
                <w:highlight w:val="none"/>
                <w:lang w:eastAsia="zh-CN"/>
              </w:rPr>
            </w:pPr>
            <w:r>
              <w:rPr>
                <w:rFonts w:hint="eastAsia"/>
                <w:highlight w:val="none"/>
                <w:lang w:eastAsia="zh-CN"/>
              </w:rPr>
              <w:t>对照《固定污染源排污许可分类管理名录》（2019年版）中相关内容，本项目不属于“纳入重点排污单位名录的”，属于“三十一、汽车制造业 85汽车零部件及配件制造367”中的“其他”，属于登记管理，判定本项目排污许可分类为登记管理。内容见下表：</w:t>
            </w:r>
          </w:p>
          <w:p>
            <w:pPr>
              <w:pStyle w:val="18"/>
              <w:rPr>
                <w:highlight w:val="none"/>
                <w:lang w:eastAsia="zh-CN"/>
              </w:rPr>
            </w:pPr>
            <w:r>
              <w:rPr>
                <w:highlight w:val="none"/>
                <w:lang w:eastAsia="zh-CN"/>
              </w:rPr>
              <w:t>表 2-2    《固定污染源排污许可分类管理名录》（2019 年版）（摘录）</w:t>
            </w:r>
          </w:p>
          <w:tbl>
            <w:tblPr>
              <w:tblStyle w:val="21"/>
              <w:tblW w:w="7939" w:type="dxa"/>
              <w:tblInd w:w="10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06"/>
              <w:gridCol w:w="784"/>
              <w:gridCol w:w="683"/>
              <w:gridCol w:w="5500"/>
              <w:gridCol w:w="56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406" w:type="dxa"/>
                  <w:vAlign w:val="center"/>
                </w:tcPr>
                <w:p>
                  <w:pPr>
                    <w:pStyle w:val="17"/>
                    <w:rPr>
                      <w:highlight w:val="none"/>
                    </w:rPr>
                  </w:pPr>
                  <w:r>
                    <w:rPr>
                      <w:highlight w:val="none"/>
                    </w:rPr>
                    <w:t>序号</w:t>
                  </w:r>
                </w:p>
              </w:tc>
              <w:tc>
                <w:tcPr>
                  <w:tcW w:w="784" w:type="dxa"/>
                  <w:vAlign w:val="center"/>
                </w:tcPr>
                <w:p>
                  <w:pPr>
                    <w:pStyle w:val="17"/>
                    <w:rPr>
                      <w:highlight w:val="none"/>
                    </w:rPr>
                  </w:pPr>
                  <w:r>
                    <w:rPr>
                      <w:highlight w:val="none"/>
                    </w:rPr>
                    <w:t>行业类别</w:t>
                  </w:r>
                </w:p>
              </w:tc>
              <w:tc>
                <w:tcPr>
                  <w:tcW w:w="683" w:type="dxa"/>
                  <w:vAlign w:val="center"/>
                </w:tcPr>
                <w:p>
                  <w:pPr>
                    <w:pStyle w:val="17"/>
                    <w:rPr>
                      <w:highlight w:val="none"/>
                    </w:rPr>
                  </w:pPr>
                  <w:r>
                    <w:rPr>
                      <w:highlight w:val="none"/>
                    </w:rPr>
                    <w:t>重点管理</w:t>
                  </w:r>
                </w:p>
              </w:tc>
              <w:tc>
                <w:tcPr>
                  <w:tcW w:w="5500" w:type="dxa"/>
                  <w:vAlign w:val="center"/>
                </w:tcPr>
                <w:p>
                  <w:pPr>
                    <w:pStyle w:val="17"/>
                    <w:rPr>
                      <w:highlight w:val="none"/>
                    </w:rPr>
                  </w:pPr>
                  <w:r>
                    <w:rPr>
                      <w:highlight w:val="none"/>
                    </w:rPr>
                    <w:t>简化管理</w:t>
                  </w:r>
                </w:p>
              </w:tc>
              <w:tc>
                <w:tcPr>
                  <w:tcW w:w="566" w:type="dxa"/>
                  <w:vAlign w:val="center"/>
                </w:tcPr>
                <w:p>
                  <w:pPr>
                    <w:pStyle w:val="17"/>
                    <w:rPr>
                      <w:highlight w:val="none"/>
                    </w:rPr>
                  </w:pPr>
                  <w:r>
                    <w:rPr>
                      <w:highlight w:val="none"/>
                    </w:rPr>
                    <w:t>登记管理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8" w:hRule="atLeast"/>
              </w:trPr>
              <w:tc>
                <w:tcPr>
                  <w:tcW w:w="7939" w:type="dxa"/>
                  <w:gridSpan w:val="5"/>
                  <w:vAlign w:val="center"/>
                </w:tcPr>
                <w:p>
                  <w:pPr>
                    <w:pStyle w:val="17"/>
                    <w:rPr>
                      <w:highlight w:val="none"/>
                    </w:rPr>
                  </w:pPr>
                  <w:r>
                    <w:rPr>
                      <w:highlight w:val="none"/>
                    </w:rPr>
                    <w:t>三十一、汽车制造业36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27" w:hRule="atLeast"/>
              </w:trPr>
              <w:tc>
                <w:tcPr>
                  <w:tcW w:w="406" w:type="dxa"/>
                  <w:vAlign w:val="center"/>
                </w:tcPr>
                <w:p>
                  <w:pPr>
                    <w:pStyle w:val="17"/>
                    <w:rPr>
                      <w:highlight w:val="none"/>
                    </w:rPr>
                  </w:pPr>
                  <w:r>
                    <w:rPr>
                      <w:highlight w:val="none"/>
                    </w:rPr>
                    <w:t>85</w:t>
                  </w:r>
                </w:p>
              </w:tc>
              <w:tc>
                <w:tcPr>
                  <w:tcW w:w="784" w:type="dxa"/>
                  <w:vAlign w:val="center"/>
                </w:tcPr>
                <w:p>
                  <w:pPr>
                    <w:pStyle w:val="17"/>
                    <w:rPr>
                      <w:highlight w:val="none"/>
                    </w:rPr>
                  </w:pPr>
                  <w:r>
                    <w:rPr>
                      <w:highlight w:val="none"/>
                    </w:rPr>
                    <w:t>汽车零部件及配件制造367</w:t>
                  </w:r>
                </w:p>
              </w:tc>
              <w:tc>
                <w:tcPr>
                  <w:tcW w:w="683" w:type="dxa"/>
                  <w:vAlign w:val="center"/>
                </w:tcPr>
                <w:p>
                  <w:pPr>
                    <w:pStyle w:val="17"/>
                    <w:rPr>
                      <w:highlight w:val="none"/>
                    </w:rPr>
                  </w:pPr>
                  <w:r>
                    <w:rPr>
                      <w:highlight w:val="none"/>
                    </w:rPr>
                    <w:t>纳入重点排污单位名录的</w:t>
                  </w:r>
                </w:p>
              </w:tc>
              <w:tc>
                <w:tcPr>
                  <w:tcW w:w="5500" w:type="dxa"/>
                  <w:vAlign w:val="center"/>
                </w:tcPr>
                <w:p>
                  <w:pPr>
                    <w:pStyle w:val="17"/>
                    <w:rPr>
                      <w:highlight w:val="none"/>
                    </w:rPr>
                  </w:pPr>
                  <w:r>
                    <w:rPr>
                      <w:highlight w:val="none"/>
                    </w:rPr>
                    <w:t>除重点管理以外的汽车整车制造361，除重点管理以外的年使用10吨及以上溶剂型涂料或者胶粘剂（含稀释剂、固化剂、清洗溶剂）的汽车用发动机制造362、改装汽车制造363、低速汽车制造364、电车制造365、汽车车身、挂车制造366、汽车零部件及配件制造367</w:t>
                  </w:r>
                </w:p>
              </w:tc>
              <w:tc>
                <w:tcPr>
                  <w:tcW w:w="566" w:type="dxa"/>
                  <w:vAlign w:val="center"/>
                </w:tcPr>
                <w:p>
                  <w:pPr>
                    <w:pStyle w:val="17"/>
                    <w:rPr>
                      <w:highlight w:val="none"/>
                    </w:rPr>
                  </w:pPr>
                  <w:r>
                    <w:rPr>
                      <w:b/>
                      <w:bCs/>
                      <w:color w:val="auto"/>
                      <w:highlight w:val="none"/>
                    </w:rPr>
                    <w:t>其他</w:t>
                  </w:r>
                </w:p>
              </w:tc>
            </w:tr>
          </w:tbl>
          <w:p>
            <w:pPr>
              <w:pStyle w:val="8"/>
              <w:ind w:firstLine="482"/>
              <w:rPr>
                <w:b/>
                <w:bCs/>
                <w:highlight w:val="none"/>
                <w:lang w:eastAsia="zh-CN"/>
              </w:rPr>
            </w:pPr>
            <w:r>
              <w:rPr>
                <w:rFonts w:hint="eastAsia"/>
                <w:b/>
                <w:bCs/>
                <w:highlight w:val="none"/>
                <w:lang w:eastAsia="zh-CN"/>
              </w:rPr>
              <w:t>2、建设内容</w:t>
            </w:r>
          </w:p>
          <w:p>
            <w:pPr>
              <w:pStyle w:val="8"/>
              <w:ind w:firstLine="482"/>
              <w:rPr>
                <w:b/>
                <w:bCs/>
                <w:highlight w:val="none"/>
                <w:lang w:eastAsia="zh-CN"/>
              </w:rPr>
            </w:pPr>
            <w:r>
              <w:rPr>
                <w:rFonts w:hint="eastAsia"/>
                <w:b/>
                <w:bCs/>
                <w:highlight w:val="none"/>
                <w:lang w:eastAsia="zh-CN"/>
              </w:rPr>
              <w:t>2.1 项目基本情况</w:t>
            </w:r>
          </w:p>
          <w:p>
            <w:pPr>
              <w:pStyle w:val="8"/>
              <w:ind w:firstLine="480"/>
              <w:rPr>
                <w:highlight w:val="none"/>
                <w:lang w:eastAsia="zh-CN"/>
              </w:rPr>
            </w:pPr>
            <w:r>
              <w:rPr>
                <w:rFonts w:hint="eastAsia"/>
                <w:highlight w:val="none"/>
                <w:lang w:eastAsia="zh-CN"/>
              </w:rPr>
              <w:t>项目名称：马瑞利动力系统（合肥）有限公司年产100万件驻车执行器项目</w:t>
            </w:r>
          </w:p>
          <w:p>
            <w:pPr>
              <w:pStyle w:val="8"/>
              <w:ind w:firstLine="480"/>
              <w:rPr>
                <w:highlight w:val="none"/>
                <w:lang w:eastAsia="zh-CN"/>
              </w:rPr>
            </w:pPr>
            <w:r>
              <w:rPr>
                <w:rFonts w:hint="eastAsia"/>
                <w:highlight w:val="none"/>
                <w:lang w:eastAsia="zh-CN"/>
              </w:rPr>
              <w:t>建设单位：马瑞利动力系统（合肥）有限公司</w:t>
            </w:r>
          </w:p>
          <w:p>
            <w:pPr>
              <w:pStyle w:val="8"/>
              <w:ind w:firstLine="480"/>
              <w:rPr>
                <w:highlight w:val="none"/>
                <w:lang w:eastAsia="zh-CN"/>
              </w:rPr>
            </w:pPr>
            <w:r>
              <w:rPr>
                <w:rFonts w:hint="eastAsia"/>
                <w:highlight w:val="none"/>
                <w:lang w:eastAsia="zh-CN"/>
              </w:rPr>
              <w:t>项目性质：扩建</w:t>
            </w:r>
          </w:p>
          <w:p>
            <w:pPr>
              <w:pStyle w:val="8"/>
              <w:ind w:firstLine="480"/>
              <w:rPr>
                <w:highlight w:val="none"/>
                <w:lang w:eastAsia="zh-CN"/>
              </w:rPr>
            </w:pPr>
            <w:r>
              <w:rPr>
                <w:rFonts w:hint="eastAsia"/>
                <w:highlight w:val="none"/>
                <w:lang w:eastAsia="zh-CN"/>
              </w:rPr>
              <w:t>建设地点：合肥高新区柏堰科技园宁西路108号马瑞利动力系统（合肥）有限公司厂区内空置车间。</w:t>
            </w:r>
          </w:p>
          <w:p>
            <w:pPr>
              <w:pStyle w:val="8"/>
              <w:ind w:firstLine="480"/>
              <w:rPr>
                <w:highlight w:val="none"/>
                <w:lang w:eastAsia="zh-CN"/>
              </w:rPr>
            </w:pPr>
            <w:r>
              <w:rPr>
                <w:rFonts w:hint="eastAsia"/>
                <w:highlight w:val="none"/>
                <w:lang w:eastAsia="zh-CN"/>
              </w:rPr>
              <w:t>项目投资：1800万元</w:t>
            </w:r>
          </w:p>
          <w:p>
            <w:pPr>
              <w:pStyle w:val="8"/>
              <w:ind w:firstLine="482"/>
              <w:rPr>
                <w:b/>
                <w:bCs/>
                <w:highlight w:val="none"/>
                <w:lang w:eastAsia="zh-CN"/>
              </w:rPr>
            </w:pPr>
            <w:r>
              <w:rPr>
                <w:rFonts w:hint="eastAsia"/>
                <w:b/>
                <w:bCs/>
                <w:highlight w:val="none"/>
                <w:lang w:eastAsia="zh-CN"/>
              </w:rPr>
              <w:t>2.2 工程建设内容</w:t>
            </w:r>
          </w:p>
          <w:p>
            <w:pPr>
              <w:pStyle w:val="8"/>
              <w:ind w:firstLine="480"/>
              <w:rPr>
                <w:highlight w:val="none"/>
                <w:lang w:eastAsia="zh-CN"/>
              </w:rPr>
            </w:pPr>
            <w:r>
              <w:rPr>
                <w:rFonts w:hint="eastAsia"/>
                <w:highlight w:val="none"/>
                <w:lang w:eastAsia="zh-CN"/>
              </w:rPr>
              <w:t>现有项目高压油泵产能100万件/年，低压喷嘴产能250万件/年，汽车电子节气门总成300万件/年，摩托车节气门总成50万件/年；供油轨总成30万件/年；机械式自动变速器执行器36000套/年。</w:t>
            </w:r>
          </w:p>
          <w:p>
            <w:pPr>
              <w:pStyle w:val="8"/>
              <w:ind w:firstLine="480"/>
              <w:rPr>
                <w:rFonts w:hint="eastAsia" w:ascii="宋体" w:hAnsi="宋体"/>
                <w:b/>
                <w:bCs/>
                <w:spacing w:val="7"/>
                <w:sz w:val="20"/>
                <w:szCs w:val="20"/>
                <w:highlight w:val="none"/>
                <w:lang w:eastAsia="zh-CN"/>
              </w:rPr>
            </w:pPr>
            <w:r>
              <w:rPr>
                <w:rFonts w:hint="eastAsia"/>
                <w:highlight w:val="none"/>
                <w:lang w:eastAsia="zh-CN"/>
              </w:rPr>
              <w:t>马瑞利动力系统（合肥）有限公司利用现有联合厂房进行装饰改造，建筑面积约219m</w:t>
            </w:r>
            <w:r>
              <w:rPr>
                <w:rFonts w:hint="eastAsia"/>
                <w:highlight w:val="none"/>
                <w:vertAlign w:val="superscript"/>
                <w:lang w:eastAsia="zh-CN"/>
              </w:rPr>
              <w:t>2</w:t>
            </w:r>
            <w:r>
              <w:rPr>
                <w:rFonts w:hint="eastAsia"/>
                <w:highlight w:val="none"/>
                <w:lang w:eastAsia="zh-CN"/>
              </w:rPr>
              <w:t>，项目购置驻车执行器装配线设备，新建驻车执行器装配线，项目建成后，年产100万件驻车执行器。</w:t>
            </w:r>
          </w:p>
        </w:tc>
      </w:tr>
    </w:tbl>
    <w:p>
      <w:pPr>
        <w:rPr>
          <w:lang w:eastAsia="zh-CN"/>
        </w:rPr>
        <w:sectPr>
          <w:pgSz w:w="11906" w:h="16838"/>
          <w:pgMar w:top="1701" w:right="1531" w:bottom="1701" w:left="1531" w:header="851" w:footer="992" w:gutter="0"/>
          <w:cols w:space="425" w:num="1"/>
          <w:docGrid w:type="lines" w:linePitch="312" w:charSpace="0"/>
        </w:sectPr>
      </w:pPr>
    </w:p>
    <w:tbl>
      <w:tblPr>
        <w:tblStyle w:val="21"/>
        <w:tblW w:w="13399" w:type="dxa"/>
        <w:tblInd w:w="7" w:type="dxa"/>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fixed"/>
        <w:tblCellMar>
          <w:top w:w="0" w:type="dxa"/>
          <w:left w:w="0" w:type="dxa"/>
          <w:bottom w:w="0" w:type="dxa"/>
          <w:right w:w="0" w:type="dxa"/>
        </w:tblCellMar>
      </w:tblPr>
      <w:tblGrid>
        <w:gridCol w:w="636"/>
        <w:gridCol w:w="12763"/>
      </w:tblGrid>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8927" w:hRule="atLeast"/>
        </w:trPr>
        <w:tc>
          <w:tcPr>
            <w:tcW w:w="636" w:type="dxa"/>
            <w:tcBorders>
              <w:right w:val="single" w:color="000000" w:sz="2" w:space="0"/>
            </w:tcBorders>
            <w:vAlign w:val="center"/>
          </w:tcPr>
          <w:p>
            <w:pPr>
              <w:spacing w:line="240" w:lineRule="auto"/>
              <w:jc w:val="center"/>
              <w:rPr>
                <w:rFonts w:hint="eastAsia" w:ascii="宋体" w:hAnsi="宋体"/>
                <w:szCs w:val="20"/>
                <w:highlight w:val="none"/>
              </w:rPr>
            </w:pPr>
            <w:r>
              <w:rPr>
                <w:highlight w:val="none"/>
              </w:rPr>
              <w:t>建设内容</w:t>
            </w:r>
          </w:p>
        </w:tc>
        <w:tc>
          <w:tcPr>
            <w:tcW w:w="12763" w:type="dxa"/>
            <w:tcBorders>
              <w:left w:val="single" w:color="000000" w:sz="2" w:space="0"/>
            </w:tcBorders>
          </w:tcPr>
          <w:p>
            <w:pPr>
              <w:pStyle w:val="8"/>
              <w:ind w:firstLine="480"/>
              <w:rPr>
                <w:highlight w:val="none"/>
                <w:lang w:eastAsia="zh-CN"/>
              </w:rPr>
            </w:pPr>
            <w:r>
              <w:rPr>
                <w:highlight w:val="none"/>
                <w:lang w:eastAsia="zh-CN"/>
              </w:rPr>
              <w:t>项目主要工程内容详见下表：</w:t>
            </w:r>
          </w:p>
          <w:p>
            <w:pPr>
              <w:pStyle w:val="18"/>
              <w:rPr>
                <w:highlight w:val="none"/>
                <w:lang w:eastAsia="zh-CN"/>
              </w:rPr>
            </w:pPr>
            <w:r>
              <w:rPr>
                <w:highlight w:val="none"/>
                <w:lang w:eastAsia="zh-CN"/>
              </w:rPr>
              <w:t>表 2-3    项目主要建设内容与规模一览表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
              <w:gridCol w:w="409"/>
              <w:gridCol w:w="245"/>
              <w:gridCol w:w="655"/>
              <w:gridCol w:w="3368"/>
              <w:gridCol w:w="2195"/>
              <w:gridCol w:w="3982"/>
              <w:gridCol w:w="1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64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工程类别</w:t>
                  </w:r>
                </w:p>
              </w:tc>
              <w:tc>
                <w:tcPr>
                  <w:tcW w:w="1309" w:type="dxa"/>
                  <w:gridSpan w:val="3"/>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单项工程名称</w:t>
                  </w:r>
                </w:p>
              </w:tc>
              <w:tc>
                <w:tcPr>
                  <w:tcW w:w="9545"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工程建设内容及规模</w:t>
                  </w:r>
                </w:p>
              </w:tc>
              <w:tc>
                <w:tcPr>
                  <w:tcW w:w="1020"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1309" w:type="dxa"/>
                  <w:gridSpan w:val="3"/>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现有项目</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扩建项目</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扩建后全厂</w:t>
                  </w:r>
                </w:p>
              </w:tc>
              <w:tc>
                <w:tcPr>
                  <w:tcW w:w="1020"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64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主体工程</w:t>
                  </w: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联合厂房</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联合厂房内设置高压油泵生产车间、低压喷嘴生产车间、节气门装配车间、装配车间、机加工车间、注塑车间</w:t>
                  </w:r>
                  <w:r>
                    <w:rPr>
                      <w:rFonts w:hint="eastAsia"/>
                      <w:highlight w:val="none"/>
                    </w:rPr>
                    <w:t>、AMT装配车间</w:t>
                  </w:r>
                  <w:r>
                    <w:rPr>
                      <w:highlight w:val="none"/>
                    </w:rPr>
                    <w:t>、原料仓库、组装成品区、成品区、实验室</w:t>
                  </w:r>
                  <w:r>
                    <w:rPr>
                      <w:rFonts w:hint="eastAsia"/>
                      <w:highlight w:val="none"/>
                    </w:rPr>
                    <w:t>、清洗区</w:t>
                  </w:r>
                  <w:r>
                    <w:rPr>
                      <w:highlight w:val="none"/>
                    </w:rPr>
                    <w:t>、办公区等</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依托现有AMT装配车间</w:t>
                  </w:r>
                  <w:r>
                    <w:rPr>
                      <w:rFonts w:hint="eastAsia"/>
                      <w:highlight w:val="none"/>
                      <w:lang w:val="en-US" w:eastAsia="zh-CN"/>
                    </w:rPr>
                    <w:t>空置区域</w:t>
                  </w:r>
                  <w:r>
                    <w:rPr>
                      <w:rFonts w:hint="eastAsia"/>
                      <w:highlight w:val="none"/>
                    </w:rPr>
                    <w:t>，增设</w:t>
                  </w:r>
                  <w:r>
                    <w:rPr>
                      <w:rFonts w:hint="eastAsia"/>
                      <w:highlight w:val="none"/>
                      <w:lang w:val="en-US" w:eastAsia="zh-CN"/>
                    </w:rPr>
                    <w:t>驻车执行器</w:t>
                  </w:r>
                  <w:r>
                    <w:rPr>
                      <w:rFonts w:hint="eastAsia"/>
                      <w:highlight w:val="none"/>
                    </w:rPr>
                    <w:t>装配线</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联合厂房内设置高压油泵生产车间、低压喷嘴生产车间、节气门装配车间、装配车间、机加工车间、注塑车间</w:t>
                  </w:r>
                  <w:r>
                    <w:rPr>
                      <w:rFonts w:hint="eastAsia"/>
                      <w:highlight w:val="none"/>
                    </w:rPr>
                    <w:t>、AMT装配车间</w:t>
                  </w:r>
                  <w:r>
                    <w:rPr>
                      <w:highlight w:val="none"/>
                    </w:rPr>
                    <w:t>、原料仓库、组装成品区、成品区、实验室</w:t>
                  </w:r>
                  <w:r>
                    <w:rPr>
                      <w:rFonts w:hint="eastAsia"/>
                      <w:highlight w:val="none"/>
                    </w:rPr>
                    <w:t>、清洗区</w:t>
                  </w:r>
                  <w:r>
                    <w:rPr>
                      <w:highlight w:val="none"/>
                    </w:rPr>
                    <w:t>、办公区等</w:t>
                  </w:r>
                </w:p>
              </w:tc>
              <w:tc>
                <w:tcPr>
                  <w:tcW w:w="1020" w:type="dxa"/>
                  <w:vAlign w:val="center"/>
                </w:tcPr>
                <w:p>
                  <w:pPr>
                    <w:pStyle w:val="17"/>
                    <w:bidi w:val="0"/>
                    <w:rPr>
                      <w:highlight w:val="none"/>
                    </w:rPr>
                  </w:pPr>
                  <w:r>
                    <w:rPr>
                      <w:rFonts w:hint="eastAsia"/>
                      <w:highlight w:val="none"/>
                    </w:rPr>
                    <w:t>依托现有AMT装配车间空置区域，增设驻车执行器装配线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409"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其中</w:t>
                  </w:r>
                </w:p>
              </w:tc>
              <w:tc>
                <w:tcPr>
                  <w:tcW w:w="900"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高压油泵生产车间</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rFonts w:hint="default" w:eastAsia="宋体"/>
                      <w:highlight w:val="none"/>
                      <w:lang w:val="en-US" w:eastAsia="zh-CN"/>
                    </w:rPr>
                  </w:pPr>
                  <w:r>
                    <w:rPr>
                      <w:highlight w:val="none"/>
                    </w:rPr>
                    <w:t>高压油泵生产线</w:t>
                  </w:r>
                  <w:r>
                    <w:rPr>
                      <w:rFonts w:hint="eastAsia"/>
                      <w:highlight w:val="none"/>
                      <w:lang w:val="en-US" w:eastAsia="zh-CN"/>
                    </w:rPr>
                    <w:t>2</w:t>
                  </w:r>
                  <w:r>
                    <w:rPr>
                      <w:highlight w:val="none"/>
                    </w:rPr>
                    <w:t>条，年产</w:t>
                  </w:r>
                  <w:r>
                    <w:rPr>
                      <w:rFonts w:hint="eastAsia"/>
                      <w:highlight w:val="none"/>
                      <w:lang w:val="en-US" w:eastAsia="zh-CN"/>
                    </w:rPr>
                    <w:t>100</w:t>
                  </w:r>
                  <w:r>
                    <w:rPr>
                      <w:highlight w:val="none"/>
                    </w:rPr>
                    <w:t>万只高压油泵，建筑面积2</w:t>
                  </w:r>
                  <w:r>
                    <w:rPr>
                      <w:rFonts w:hint="eastAsia"/>
                      <w:highlight w:val="none"/>
                      <w:lang w:val="en-US" w:eastAsia="zh-CN"/>
                    </w:rPr>
                    <w:t>474</w:t>
                  </w:r>
                  <w:r>
                    <w:rPr>
                      <w:highlight w:val="none"/>
                    </w:rPr>
                    <w:t>m</w:t>
                  </w:r>
                  <w:r>
                    <w:rPr>
                      <w:highlight w:val="none"/>
                      <w:vertAlign w:val="superscript"/>
                    </w:rPr>
                    <w:t>2</w:t>
                  </w:r>
                  <w:r>
                    <w:rPr>
                      <w:rFonts w:hint="eastAsia"/>
                      <w:highlight w:val="none"/>
                      <w:vertAlign w:val="baseline"/>
                      <w:lang w:val="en-US" w:eastAsia="zh-CN"/>
                    </w:rPr>
                    <w:t>和876</w:t>
                  </w:r>
                  <w:r>
                    <w:rPr>
                      <w:highlight w:val="none"/>
                    </w:rPr>
                    <w:t>m</w:t>
                  </w:r>
                  <w:r>
                    <w:rPr>
                      <w:highlight w:val="none"/>
                      <w:vertAlign w:val="superscript"/>
                    </w:rPr>
                    <w:t>2</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高压油泵生产线</w:t>
                  </w:r>
                  <w:r>
                    <w:rPr>
                      <w:rFonts w:hint="eastAsia"/>
                      <w:highlight w:val="none"/>
                      <w:lang w:val="en-US" w:eastAsia="zh-CN"/>
                    </w:rPr>
                    <w:t>2</w:t>
                  </w:r>
                  <w:r>
                    <w:rPr>
                      <w:highlight w:val="none"/>
                    </w:rPr>
                    <w:t>条，年产</w:t>
                  </w:r>
                  <w:r>
                    <w:rPr>
                      <w:rFonts w:hint="eastAsia"/>
                      <w:highlight w:val="none"/>
                      <w:lang w:val="en-US" w:eastAsia="zh-CN"/>
                    </w:rPr>
                    <w:t>100</w:t>
                  </w:r>
                  <w:r>
                    <w:rPr>
                      <w:highlight w:val="none"/>
                    </w:rPr>
                    <w:t>万只高压油泵，建筑面积2</w:t>
                  </w:r>
                  <w:r>
                    <w:rPr>
                      <w:rFonts w:hint="eastAsia"/>
                      <w:highlight w:val="none"/>
                      <w:lang w:val="en-US" w:eastAsia="zh-CN"/>
                    </w:rPr>
                    <w:t>474</w:t>
                  </w:r>
                  <w:r>
                    <w:rPr>
                      <w:highlight w:val="none"/>
                    </w:rPr>
                    <w:t>m</w:t>
                  </w:r>
                  <w:r>
                    <w:rPr>
                      <w:highlight w:val="none"/>
                      <w:vertAlign w:val="superscript"/>
                    </w:rPr>
                    <w:t>2</w:t>
                  </w:r>
                  <w:r>
                    <w:rPr>
                      <w:rFonts w:hint="eastAsia"/>
                      <w:highlight w:val="none"/>
                      <w:vertAlign w:val="baseline"/>
                      <w:lang w:val="en-US" w:eastAsia="zh-CN"/>
                    </w:rPr>
                    <w:t>和876</w:t>
                  </w:r>
                  <w:r>
                    <w:rPr>
                      <w:highlight w:val="none"/>
                    </w:rPr>
                    <w:t>m</w:t>
                  </w:r>
                  <w:r>
                    <w:rPr>
                      <w:highlight w:val="none"/>
                      <w:vertAlign w:val="superscript"/>
                    </w:rPr>
                    <w:t>2</w:t>
                  </w:r>
                </w:p>
              </w:tc>
              <w:tc>
                <w:tcPr>
                  <w:tcW w:w="1020" w:type="dxa"/>
                  <w:vAlign w:val="center"/>
                </w:tcPr>
                <w:p>
                  <w:pPr>
                    <w:pStyle w:val="17"/>
                    <w:bidi w:val="0"/>
                    <w:rPr>
                      <w:highlight w:val="none"/>
                      <w:lang w:eastAsia="en-US"/>
                    </w:rPr>
                  </w:pPr>
                  <w:r>
                    <w:rPr>
                      <w:highlight w:val="none"/>
                    </w:rPr>
                    <w:t>不发生变化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40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900"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低压喷嘴生产车间</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低压喷嘴生产线1条，年产250万只低压喷嘴，建筑面积</w:t>
                  </w:r>
                  <w:r>
                    <w:rPr>
                      <w:rFonts w:hint="eastAsia"/>
                      <w:highlight w:val="none"/>
                      <w:lang w:val="en-US" w:eastAsia="zh-CN"/>
                    </w:rPr>
                    <w:t>1733</w:t>
                  </w:r>
                  <w:r>
                    <w:rPr>
                      <w:highlight w:val="none"/>
                    </w:rPr>
                    <w:t>m</w:t>
                  </w:r>
                  <w:r>
                    <w:rPr>
                      <w:highlight w:val="none"/>
                      <w:vertAlign w:val="superscript"/>
                    </w:rPr>
                    <w:t>2</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低压喷嘴生产线1条，年产250万只低压喷嘴，建筑面积</w:t>
                  </w:r>
                  <w:r>
                    <w:rPr>
                      <w:rFonts w:hint="eastAsia"/>
                      <w:highlight w:val="none"/>
                      <w:lang w:val="en-US" w:eastAsia="zh-CN"/>
                    </w:rPr>
                    <w:t>1733</w:t>
                  </w:r>
                  <w:r>
                    <w:rPr>
                      <w:highlight w:val="none"/>
                    </w:rPr>
                    <w:t>m</w:t>
                  </w:r>
                  <w:r>
                    <w:rPr>
                      <w:highlight w:val="none"/>
                      <w:vertAlign w:val="superscript"/>
                    </w:rPr>
                    <w:t>2</w:t>
                  </w:r>
                </w:p>
              </w:tc>
              <w:tc>
                <w:tcPr>
                  <w:tcW w:w="1020" w:type="dxa"/>
                  <w:vAlign w:val="center"/>
                </w:tcPr>
                <w:p>
                  <w:pPr>
                    <w:pStyle w:val="17"/>
                    <w:bidi w:val="0"/>
                    <w:rPr>
                      <w:highlight w:val="none"/>
                      <w:lang w:eastAsia="en-US"/>
                    </w:rPr>
                  </w:pPr>
                  <w:r>
                    <w:rPr>
                      <w:highlight w:val="none"/>
                    </w:rPr>
                    <w:t>不发生变化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40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900"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节气门装配车间</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节气门装配线9条，年产300万只汽车电子节气门和50万只摩托车气门总成，建筑面积1122m</w:t>
                  </w:r>
                  <w:r>
                    <w:rPr>
                      <w:highlight w:val="none"/>
                      <w:vertAlign w:val="superscript"/>
                    </w:rPr>
                    <w:t>2</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节气门装配线9条，年产300万只汽车电子节气门</w:t>
                  </w:r>
                  <w:r>
                    <w:rPr>
                      <w:rFonts w:hint="eastAsia"/>
                      <w:highlight w:val="none"/>
                    </w:rPr>
                    <w:t>、</w:t>
                  </w:r>
                  <w:r>
                    <w:rPr>
                      <w:highlight w:val="none"/>
                    </w:rPr>
                    <w:t>50万只摩托车气门总成，建筑面积1122m</w:t>
                  </w:r>
                  <w:r>
                    <w:rPr>
                      <w:highlight w:val="none"/>
                      <w:vertAlign w:val="superscript"/>
                    </w:rPr>
                    <w:t>2</w:t>
                  </w:r>
                </w:p>
              </w:tc>
              <w:tc>
                <w:tcPr>
                  <w:tcW w:w="1020" w:type="dxa"/>
                  <w:vAlign w:val="center"/>
                </w:tcPr>
                <w:p>
                  <w:pPr>
                    <w:pStyle w:val="17"/>
                    <w:bidi w:val="0"/>
                    <w:rPr>
                      <w:highlight w:val="none"/>
                      <w:lang w:eastAsia="en-US"/>
                    </w:rPr>
                  </w:pPr>
                  <w:r>
                    <w:rPr>
                      <w:highlight w:val="none"/>
                    </w:rPr>
                    <w:t>不发生变化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40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900"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装配车间</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油轨装配线2条</w:t>
                  </w:r>
                  <w:r>
                    <w:rPr>
                      <w:rFonts w:hint="eastAsia"/>
                      <w:highlight w:val="none"/>
                      <w:lang w:eastAsia="zh-CN"/>
                    </w:rPr>
                    <w:t>，</w:t>
                  </w:r>
                  <w:r>
                    <w:rPr>
                      <w:highlight w:val="none"/>
                    </w:rPr>
                    <w:t>30万只油轨总成</w:t>
                  </w:r>
                  <w:r>
                    <w:rPr>
                      <w:rFonts w:hint="eastAsia"/>
                      <w:highlight w:val="none"/>
                      <w:lang w:eastAsia="zh-CN"/>
                    </w:rPr>
                    <w:t>，</w:t>
                  </w:r>
                  <w:r>
                    <w:rPr>
                      <w:highlight w:val="none"/>
                    </w:rPr>
                    <w:t>建筑面积924m</w:t>
                  </w:r>
                  <w:r>
                    <w:rPr>
                      <w:highlight w:val="none"/>
                      <w:vertAlign w:val="superscript"/>
                    </w:rPr>
                    <w:t>2</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油轨装配线2条</w:t>
                  </w:r>
                  <w:r>
                    <w:rPr>
                      <w:rFonts w:hint="eastAsia"/>
                      <w:highlight w:val="none"/>
                      <w:lang w:eastAsia="zh-CN"/>
                    </w:rPr>
                    <w:t>，</w:t>
                  </w:r>
                  <w:r>
                    <w:rPr>
                      <w:highlight w:val="none"/>
                    </w:rPr>
                    <w:t>30万只油轨总成</w:t>
                  </w:r>
                  <w:r>
                    <w:rPr>
                      <w:rFonts w:hint="eastAsia"/>
                      <w:highlight w:val="none"/>
                      <w:lang w:eastAsia="zh-CN"/>
                    </w:rPr>
                    <w:t>，</w:t>
                  </w:r>
                  <w:r>
                    <w:rPr>
                      <w:highlight w:val="none"/>
                    </w:rPr>
                    <w:t>建筑面积924m</w:t>
                  </w:r>
                  <w:r>
                    <w:rPr>
                      <w:highlight w:val="none"/>
                      <w:vertAlign w:val="superscript"/>
                    </w:rPr>
                    <w:t>2</w:t>
                  </w:r>
                </w:p>
              </w:tc>
              <w:tc>
                <w:tcPr>
                  <w:tcW w:w="1020" w:type="dxa"/>
                  <w:vAlign w:val="center"/>
                </w:tcPr>
                <w:p>
                  <w:pPr>
                    <w:pStyle w:val="17"/>
                    <w:bidi w:val="0"/>
                    <w:rPr>
                      <w:highlight w:val="none"/>
                      <w:lang w:eastAsia="en-US"/>
                    </w:rPr>
                  </w:pPr>
                  <w:r>
                    <w:rPr>
                      <w:highlight w:val="none"/>
                    </w:rPr>
                    <w:t>不发生变化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40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900"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机加工车间</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建筑面积1023m</w:t>
                  </w:r>
                  <w:r>
                    <w:rPr>
                      <w:highlight w:val="none"/>
                      <w:vertAlign w:val="superscript"/>
                    </w:rPr>
                    <w:t>2</w:t>
                  </w:r>
                  <w:r>
                    <w:rPr>
                      <w:highlight w:val="none"/>
                    </w:rPr>
                    <w:t>，主要为节气门阀体中金属切削、清洗工段，包括机加工设备、清洗设备等</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建筑面积1023m</w:t>
                  </w:r>
                  <w:r>
                    <w:rPr>
                      <w:highlight w:val="none"/>
                      <w:vertAlign w:val="superscript"/>
                    </w:rPr>
                    <w:t>2</w:t>
                  </w:r>
                  <w:r>
                    <w:rPr>
                      <w:highlight w:val="none"/>
                    </w:rPr>
                    <w:t>，主要为节气门阀体中金属切削、清洗工段，包括机加工设备、清洗设备等</w:t>
                  </w:r>
                </w:p>
              </w:tc>
              <w:tc>
                <w:tcPr>
                  <w:tcW w:w="1020" w:type="dxa"/>
                  <w:vAlign w:val="center"/>
                </w:tcPr>
                <w:p>
                  <w:pPr>
                    <w:pStyle w:val="17"/>
                    <w:bidi w:val="0"/>
                    <w:rPr>
                      <w:highlight w:val="none"/>
                      <w:lang w:eastAsia="en-US"/>
                    </w:rPr>
                  </w:pPr>
                  <w:r>
                    <w:rPr>
                      <w:highlight w:val="none"/>
                    </w:rPr>
                    <w:t>不发生变化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40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900"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注塑车间</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主要包括注塑设备，建筑面积2071m</w:t>
                  </w:r>
                  <w:r>
                    <w:rPr>
                      <w:rFonts w:hint="eastAsia"/>
                      <w:highlight w:val="none"/>
                      <w:vertAlign w:val="superscript"/>
                    </w:rPr>
                    <w:t>2</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主要包括注塑设备，建筑面积2071m</w:t>
                  </w:r>
                  <w:r>
                    <w:rPr>
                      <w:rFonts w:hint="eastAsia"/>
                      <w:highlight w:val="none"/>
                      <w:vertAlign w:val="superscript"/>
                    </w:rPr>
                    <w:t>2</w:t>
                  </w:r>
                </w:p>
              </w:tc>
              <w:tc>
                <w:tcPr>
                  <w:tcW w:w="1020" w:type="dxa"/>
                  <w:vAlign w:val="center"/>
                </w:tcPr>
                <w:p>
                  <w:pPr>
                    <w:pStyle w:val="17"/>
                    <w:bidi w:val="0"/>
                    <w:rPr>
                      <w:highlight w:val="none"/>
                      <w:lang w:eastAsia="en-US"/>
                    </w:rPr>
                  </w:pPr>
                  <w:r>
                    <w:rPr>
                      <w:highlight w:val="none"/>
                    </w:rPr>
                    <w:t>不发生变化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40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900"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rFonts w:hint="eastAsia"/>
                      <w:highlight w:val="none"/>
                      <w:lang w:eastAsia="en-US"/>
                    </w:rPr>
                    <w:t>AMT装配车间</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建筑面积约为920m</w:t>
                  </w:r>
                  <w:r>
                    <w:rPr>
                      <w:rFonts w:hint="eastAsia"/>
                      <w:highlight w:val="none"/>
                      <w:vertAlign w:val="superscript"/>
                    </w:rPr>
                    <w:t>2</w:t>
                  </w:r>
                  <w:r>
                    <w:rPr>
                      <w:highlight w:val="none"/>
                    </w:rPr>
                    <w:t>，车间内分为VG分装线、PU分装线、4代 KIT总成装配件、5代KIT总成装配线等。车间外设置1台清洗机。其中4代产品的装配生产线为：VG分装线+PU分装线+4代KIT总成装配线；5代产品的装配生产线为：PU分装线+5代KIT总成装配线。</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color w:val="auto"/>
                      <w:highlight w:val="none"/>
                    </w:rPr>
                  </w:pPr>
                  <w:r>
                    <w:rPr>
                      <w:rFonts w:hint="eastAsia"/>
                      <w:color w:val="auto"/>
                      <w:highlight w:val="none"/>
                    </w:rPr>
                    <w:t>依托219m</w:t>
                  </w:r>
                  <w:r>
                    <w:rPr>
                      <w:rFonts w:hint="eastAsia"/>
                      <w:color w:val="auto"/>
                      <w:highlight w:val="none"/>
                      <w:vertAlign w:val="superscript"/>
                    </w:rPr>
                    <w:t>2</w:t>
                  </w:r>
                  <w:r>
                    <w:rPr>
                      <w:rFonts w:hint="eastAsia"/>
                      <w:color w:val="auto"/>
                      <w:highlight w:val="none"/>
                    </w:rPr>
                    <w:t>的空置</w:t>
                  </w:r>
                  <w:r>
                    <w:rPr>
                      <w:rFonts w:hint="eastAsia"/>
                      <w:color w:val="auto"/>
                      <w:highlight w:val="none"/>
                      <w:lang w:val="en-US" w:eastAsia="zh-CN"/>
                    </w:rPr>
                    <w:t>区域</w:t>
                  </w:r>
                  <w:r>
                    <w:rPr>
                      <w:rFonts w:hint="eastAsia"/>
                      <w:color w:val="auto"/>
                      <w:highlight w:val="none"/>
                    </w:rPr>
                    <w:t>，新增驻车执行器装配线</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color w:val="auto"/>
                      <w:highlight w:val="none"/>
                    </w:rPr>
                  </w:pPr>
                  <w:r>
                    <w:rPr>
                      <w:color w:val="auto"/>
                      <w:highlight w:val="none"/>
                    </w:rPr>
                    <w:t>建筑面积约为920m</w:t>
                  </w:r>
                  <w:r>
                    <w:rPr>
                      <w:rFonts w:hint="eastAsia"/>
                      <w:color w:val="auto"/>
                      <w:highlight w:val="none"/>
                      <w:vertAlign w:val="superscript"/>
                    </w:rPr>
                    <w:t>2</w:t>
                  </w:r>
                  <w:r>
                    <w:rPr>
                      <w:color w:val="auto"/>
                      <w:highlight w:val="none"/>
                    </w:rPr>
                    <w:t>，车间内分为VG分装线、PU分装线、4代 KIT总成装配件、5代KIT总成装配线</w:t>
                  </w:r>
                  <w:r>
                    <w:rPr>
                      <w:rFonts w:hint="eastAsia"/>
                      <w:color w:val="auto"/>
                      <w:highlight w:val="none"/>
                    </w:rPr>
                    <w:t>、驻车执行器装配线</w:t>
                  </w:r>
                  <w:r>
                    <w:rPr>
                      <w:color w:val="auto"/>
                      <w:highlight w:val="none"/>
                    </w:rPr>
                    <w:t>等。车间外设置1台清洗机。其中4代产品的装配生产线为：VG分装线+PU分装线+4代 KIT总成装配线；5代产品的装配生产线为：PU分装线+5代KIT总成装配线。</w:t>
                  </w:r>
                </w:p>
              </w:tc>
              <w:tc>
                <w:tcPr>
                  <w:tcW w:w="1020" w:type="dxa"/>
                  <w:vAlign w:val="center"/>
                </w:tcPr>
                <w:p>
                  <w:pPr>
                    <w:pStyle w:val="17"/>
                    <w:bidi w:val="0"/>
                    <w:rPr>
                      <w:highlight w:val="none"/>
                      <w:lang w:eastAsia="en-US"/>
                    </w:rPr>
                  </w:pPr>
                  <w:r>
                    <w:rPr>
                      <w:rFonts w:hint="eastAsia"/>
                      <w:highlight w:val="none"/>
                    </w:rPr>
                    <w:t>新增驻车执行器装配线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40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900"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实验室</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建筑面积为720m</w:t>
                  </w:r>
                  <w:r>
                    <w:rPr>
                      <w:rFonts w:hint="eastAsia"/>
                      <w:highlight w:val="none"/>
                      <w:vertAlign w:val="superscript"/>
                    </w:rPr>
                    <w:t>2</w:t>
                  </w:r>
                  <w:r>
                    <w:rPr>
                      <w:highlight w:val="none"/>
                    </w:rPr>
                    <w:t>。主要做清洁度</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检测、粗糙度检测等。</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建筑面积为720m</w:t>
                  </w:r>
                  <w:r>
                    <w:rPr>
                      <w:rFonts w:hint="eastAsia"/>
                      <w:highlight w:val="none"/>
                      <w:vertAlign w:val="superscript"/>
                    </w:rPr>
                    <w:t>2</w:t>
                  </w:r>
                  <w:r>
                    <w:rPr>
                      <w:highlight w:val="none"/>
                    </w:rPr>
                    <w:t>。主要做清洁度</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检测、粗糙度检测等。</w:t>
                  </w:r>
                </w:p>
              </w:tc>
              <w:tc>
                <w:tcPr>
                  <w:tcW w:w="1020" w:type="dxa"/>
                  <w:vAlign w:val="center"/>
                </w:tcPr>
                <w:p>
                  <w:pPr>
                    <w:pStyle w:val="17"/>
                    <w:bidi w:val="0"/>
                    <w:rPr>
                      <w:highlight w:val="none"/>
                      <w:lang w:eastAsia="en-US"/>
                    </w:rPr>
                  </w:pPr>
                  <w:r>
                    <w:rPr>
                      <w:highlight w:val="none"/>
                    </w:rPr>
                    <w:t>不发生变化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409"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p>
              </w:tc>
              <w:tc>
                <w:tcPr>
                  <w:tcW w:w="900" w:type="dxa"/>
                  <w:gridSpan w:val="2"/>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清洗区</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清洗区面积为36m</w:t>
                  </w:r>
                  <w:r>
                    <w:rPr>
                      <w:rFonts w:hint="eastAsia"/>
                      <w:highlight w:val="none"/>
                      <w:vertAlign w:val="superscript"/>
                    </w:rPr>
                    <w:t>2</w:t>
                  </w:r>
                  <w:r>
                    <w:rPr>
                      <w:highlight w:val="none"/>
                    </w:rPr>
                    <w:t>，布置1台爱阔</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特清洗机。</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清洗区面积为36m</w:t>
                  </w:r>
                  <w:r>
                    <w:rPr>
                      <w:rFonts w:hint="eastAsia"/>
                      <w:highlight w:val="none"/>
                      <w:vertAlign w:val="superscript"/>
                    </w:rPr>
                    <w:t>2</w:t>
                  </w:r>
                  <w:r>
                    <w:rPr>
                      <w:highlight w:val="none"/>
                    </w:rPr>
                    <w:t>，布置1台爱阔</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特清洗机。</w:t>
                  </w:r>
                </w:p>
              </w:tc>
              <w:tc>
                <w:tcPr>
                  <w:tcW w:w="1020" w:type="dxa"/>
                  <w:vAlign w:val="center"/>
                </w:tcPr>
                <w:p>
                  <w:pPr>
                    <w:pStyle w:val="17"/>
                    <w:bidi w:val="0"/>
                    <w:rPr>
                      <w:highlight w:val="none"/>
                      <w:lang w:eastAsia="en-US"/>
                    </w:rPr>
                  </w:pPr>
                  <w:r>
                    <w:rPr>
                      <w:highlight w:val="none"/>
                    </w:rPr>
                    <w:t>不发生变化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辅助工程</w:t>
                  </w: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办公室</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主要包括办公室、会议室、实验室、食堂和餐厅等，实验室主要为项目相关产品的功能和物理性检测，均位于联合厂房的南侧；</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为2层的厂房结构，建筑面积为5968.12m</w:t>
                  </w:r>
                  <w:r>
                    <w:rPr>
                      <w:rFonts w:hint="eastAsia"/>
                      <w:highlight w:val="none"/>
                      <w:vertAlign w:val="superscript"/>
                    </w:rPr>
                    <w:t>2</w:t>
                  </w:r>
                  <w:r>
                    <w:rPr>
                      <w:highlight w:val="none"/>
                    </w:rPr>
                    <w:t>。</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依托现有办公室、会议室、食堂和餐厅等。</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主要包括办公室、会议室、实验室、食堂和餐厅等，实验室主要为项目相关产品的功能和物理性检测，均位于联合厂房的南侧；为2层的厂房结构，建筑面积为5968.12m</w:t>
                  </w:r>
                  <w:r>
                    <w:rPr>
                      <w:rFonts w:hint="eastAsia"/>
                      <w:highlight w:val="none"/>
                      <w:vertAlign w:val="superscript"/>
                    </w:rPr>
                    <w:t>2</w:t>
                  </w:r>
                  <w:r>
                    <w:rPr>
                      <w:highlight w:val="none"/>
                    </w:rPr>
                    <w:t>。</w:t>
                  </w:r>
                </w:p>
              </w:tc>
              <w:tc>
                <w:tcPr>
                  <w:tcW w:w="1020" w:type="dxa"/>
                  <w:vMerge w:val="restart"/>
                  <w:vAlign w:val="center"/>
                </w:tcPr>
                <w:p>
                  <w:pPr>
                    <w:pStyle w:val="17"/>
                    <w:bidi w:val="0"/>
                    <w:rPr>
                      <w:highlight w:val="none"/>
                      <w:lang w:eastAsia="en-US"/>
                    </w:rPr>
                  </w:pPr>
                  <w:r>
                    <w:rPr>
                      <w:highlight w:val="none"/>
                    </w:rPr>
                    <w:t>依托现有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辅房</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主要为项目区生产配套使用的水泵房、配电房、空压机房等，位于项目区的东侧，为1层建筑结构，建筑面积为1699m</w:t>
                  </w:r>
                  <w:r>
                    <w:rPr>
                      <w:rFonts w:hint="eastAsia"/>
                      <w:highlight w:val="none"/>
                      <w:vertAlign w:val="superscript"/>
                    </w:rPr>
                    <w:t>2</w:t>
                  </w:r>
                  <w:r>
                    <w:rPr>
                      <w:highlight w:val="none"/>
                    </w:rPr>
                    <w:t>。</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rFonts w:hint="eastAsia"/>
                      <w:highlight w:val="none"/>
                    </w:rPr>
                    <w:t>依托现有</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主要为项目区生产配套使用的水泵房、配电房、空压机房等，位于项目区的东侧，为1层建筑结构，建筑面积为1699m</w:t>
                  </w:r>
                  <w:r>
                    <w:rPr>
                      <w:rFonts w:hint="eastAsia"/>
                      <w:highlight w:val="none"/>
                      <w:vertAlign w:val="superscript"/>
                    </w:rPr>
                    <w:t>2</w:t>
                  </w:r>
                  <w:r>
                    <w:rPr>
                      <w:highlight w:val="none"/>
                    </w:rPr>
                    <w:t>。</w:t>
                  </w:r>
                </w:p>
              </w:tc>
              <w:tc>
                <w:tcPr>
                  <w:tcW w:w="1020" w:type="dxa"/>
                  <w:vMerge w:val="continue"/>
                  <w:vAlign w:val="center"/>
                </w:tcPr>
                <w:p>
                  <w:pPr>
                    <w:pStyle w:val="17"/>
                    <w:bidi w:val="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门卫</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项目区东侧和南侧分别布置两间门卫室，建筑面积为99m</w:t>
                  </w:r>
                  <w:r>
                    <w:rPr>
                      <w:rFonts w:hint="eastAsia"/>
                      <w:highlight w:val="none"/>
                      <w:vertAlign w:val="superscript"/>
                    </w:rPr>
                    <w:t>2</w:t>
                  </w:r>
                  <w:r>
                    <w:rPr>
                      <w:highlight w:val="none"/>
                    </w:rPr>
                    <w:t>。</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rFonts w:hint="eastAsia"/>
                      <w:highlight w:val="none"/>
                    </w:rPr>
                    <w:t>依托现有</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项目区东侧和南侧分别布置两间门卫室，建筑面积为99m</w:t>
                  </w:r>
                  <w:r>
                    <w:rPr>
                      <w:rFonts w:hint="eastAsia"/>
                      <w:highlight w:val="none"/>
                      <w:vertAlign w:val="superscript"/>
                    </w:rPr>
                    <w:t>2</w:t>
                  </w:r>
                  <w:r>
                    <w:rPr>
                      <w:highlight w:val="none"/>
                    </w:rPr>
                    <w:t>。</w:t>
                  </w:r>
                </w:p>
              </w:tc>
              <w:tc>
                <w:tcPr>
                  <w:tcW w:w="1020" w:type="dxa"/>
                  <w:vMerge w:val="continue"/>
                  <w:vAlign w:val="center"/>
                </w:tcPr>
                <w:p>
                  <w:pPr>
                    <w:pStyle w:val="17"/>
                    <w:bidi w:val="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储运工程</w:t>
                  </w: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仓库</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原料仓库和成品仓库均位于联合厂房内</w:t>
                  </w:r>
                  <w:r>
                    <w:rPr>
                      <w:highlight w:val="none"/>
                    </w:rPr>
                    <w:t>，建筑面积3100m</w:t>
                  </w:r>
                  <w:r>
                    <w:rPr>
                      <w:rFonts w:hint="eastAsia"/>
                      <w:highlight w:val="none"/>
                      <w:vertAlign w:val="superscript"/>
                    </w:rPr>
                    <w:t>2</w:t>
                  </w:r>
                  <w:r>
                    <w:rPr>
                      <w:highlight w:val="none"/>
                    </w:rPr>
                    <w:t>。</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rFonts w:hint="eastAsia"/>
                      <w:highlight w:val="none"/>
                    </w:rPr>
                    <w:t>依托现有</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原料仓库</w:t>
                  </w:r>
                  <w:r>
                    <w:rPr>
                      <w:rFonts w:hint="eastAsia"/>
                      <w:color w:val="auto"/>
                      <w:highlight w:val="none"/>
                    </w:rPr>
                    <w:t>和成</w:t>
                  </w:r>
                  <w:r>
                    <w:rPr>
                      <w:rFonts w:hint="eastAsia"/>
                      <w:highlight w:val="none"/>
                    </w:rPr>
                    <w:t>品仓库均位于联合厂房内</w:t>
                  </w:r>
                  <w:r>
                    <w:rPr>
                      <w:highlight w:val="none"/>
                    </w:rPr>
                    <w:t>，建筑面积3100m</w:t>
                  </w:r>
                  <w:r>
                    <w:rPr>
                      <w:rFonts w:hint="eastAsia"/>
                      <w:highlight w:val="none"/>
                      <w:vertAlign w:val="superscript"/>
                    </w:rPr>
                    <w:t>2</w:t>
                  </w:r>
                  <w:r>
                    <w:rPr>
                      <w:highlight w:val="none"/>
                    </w:rPr>
                    <w:t>。</w:t>
                  </w:r>
                </w:p>
              </w:tc>
              <w:tc>
                <w:tcPr>
                  <w:tcW w:w="1020" w:type="dxa"/>
                  <w:vMerge w:val="restart"/>
                  <w:vAlign w:val="center"/>
                </w:tcPr>
                <w:p>
                  <w:pPr>
                    <w:pStyle w:val="17"/>
                    <w:bidi w:val="0"/>
                    <w:rPr>
                      <w:highlight w:val="none"/>
                      <w:lang w:eastAsia="en-US"/>
                    </w:rPr>
                  </w:pPr>
                  <w:r>
                    <w:rPr>
                      <w:highlight w:val="none"/>
                    </w:rPr>
                    <w:t>依托现有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化学品库</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位于联合厂房外西侧，建筑面积约为1</w:t>
                  </w:r>
                  <w:r>
                    <w:rPr>
                      <w:rFonts w:hint="eastAsia"/>
                      <w:highlight w:val="none"/>
                    </w:rPr>
                    <w:t>55</w:t>
                  </w:r>
                  <w:r>
                    <w:rPr>
                      <w:highlight w:val="none"/>
                    </w:rPr>
                    <w:t>m</w:t>
                  </w:r>
                  <w:r>
                    <w:rPr>
                      <w:rFonts w:hint="eastAsia"/>
                      <w:highlight w:val="none"/>
                      <w:vertAlign w:val="superscript"/>
                    </w:rPr>
                    <w:t>2</w:t>
                  </w:r>
                  <w:r>
                    <w:rPr>
                      <w:highlight w:val="none"/>
                    </w:rPr>
                    <w:t>，主要贮存生产使用的切削液、清洗剂、测试液、润滑油等，化学品均放置于防渗漏托盘上</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color w:val="auto"/>
                      <w:highlight w:val="none"/>
                    </w:rPr>
                    <w:t>依托现有化学品库，主要储存生产使用的</w:t>
                  </w:r>
                  <w:r>
                    <w:rPr>
                      <w:rFonts w:hint="eastAsia"/>
                      <w:color w:val="auto"/>
                      <w:highlight w:val="none"/>
                    </w:rPr>
                    <w:t>润滑</w:t>
                  </w:r>
                  <w:r>
                    <w:rPr>
                      <w:rFonts w:hint="eastAsia"/>
                      <w:color w:val="auto"/>
                      <w:highlight w:val="none"/>
                      <w:lang w:val="en-US" w:eastAsia="zh-CN"/>
                    </w:rPr>
                    <w:t>脂</w:t>
                  </w:r>
                  <w:r>
                    <w:rPr>
                      <w:color w:val="auto"/>
                      <w:highlight w:val="none"/>
                    </w:rPr>
                    <w:t>等。</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位于联合厂房外西侧，建筑面积为1</w:t>
                  </w:r>
                  <w:r>
                    <w:rPr>
                      <w:rFonts w:hint="eastAsia"/>
                      <w:highlight w:val="none"/>
                    </w:rPr>
                    <w:t>55</w:t>
                  </w:r>
                  <w:r>
                    <w:rPr>
                      <w:highlight w:val="none"/>
                    </w:rPr>
                    <w:t>m</w:t>
                  </w:r>
                  <w:r>
                    <w:rPr>
                      <w:rFonts w:hint="eastAsia"/>
                      <w:highlight w:val="none"/>
                      <w:vertAlign w:val="superscript"/>
                    </w:rPr>
                    <w:t>2</w:t>
                  </w:r>
                  <w:r>
                    <w:rPr>
                      <w:highlight w:val="none"/>
                    </w:rPr>
                    <w:t>，主要储存生产使用的切削液、润滑油、清洗液、测试液、荧光剂等。</w:t>
                  </w:r>
                </w:p>
              </w:tc>
              <w:tc>
                <w:tcPr>
                  <w:tcW w:w="1020" w:type="dxa"/>
                  <w:vMerge w:val="continue"/>
                  <w:vAlign w:val="center"/>
                </w:tcPr>
                <w:p>
                  <w:pPr>
                    <w:pStyle w:val="17"/>
                    <w:bidi w:val="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厂外运输</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原辅材料由供货单位提供车间运</w:t>
                  </w:r>
                  <w:r>
                    <w:rPr>
                      <w:rFonts w:hint="eastAsia"/>
                      <w:highlight w:val="none"/>
                    </w:rPr>
                    <w:t>至厂区，产品委托社会运输车辆承担或用户自行提取。</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同现有项目</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原辅材料由供货单位提供车间运至</w:t>
                  </w:r>
                  <w:r>
                    <w:rPr>
                      <w:rFonts w:hint="eastAsia"/>
                      <w:highlight w:val="none"/>
                    </w:rPr>
                    <w:t>厂区，产品委托社会运输车辆承担或用户自行提取</w:t>
                  </w:r>
                </w:p>
              </w:tc>
              <w:tc>
                <w:tcPr>
                  <w:tcW w:w="1020" w:type="dxa"/>
                  <w:vMerge w:val="continue"/>
                  <w:vAlign w:val="center"/>
                </w:tcPr>
                <w:p>
                  <w:pPr>
                    <w:pStyle w:val="17"/>
                    <w:bidi w:val="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厂内运输</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叉车、车间行吊。</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叉车、车间行吊。</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叉车、车间行吊。</w:t>
                  </w:r>
                </w:p>
              </w:tc>
              <w:tc>
                <w:tcPr>
                  <w:tcW w:w="1020" w:type="dxa"/>
                  <w:vMerge w:val="continue"/>
                  <w:vAlign w:val="center"/>
                </w:tcPr>
                <w:p>
                  <w:pPr>
                    <w:pStyle w:val="17"/>
                    <w:bidi w:val="0"/>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公用工程</w:t>
                  </w: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给水</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color w:val="auto"/>
                      <w:highlight w:val="none"/>
                    </w:rPr>
                    <w:t>项目区域内给水水源由城市给水管网供给；从宁西路给水管网引入，负责本区域所需的全部用水。用水量约为</w:t>
                  </w:r>
                  <w:r>
                    <w:rPr>
                      <w:rFonts w:hint="eastAsia"/>
                      <w:color w:val="auto"/>
                      <w:highlight w:val="none"/>
                      <w:lang w:val="en-US" w:eastAsia="zh-CN"/>
                    </w:rPr>
                    <w:t>19282.23</w:t>
                  </w:r>
                  <w:r>
                    <w:rPr>
                      <w:color w:val="auto"/>
                      <w:highlight w:val="none"/>
                    </w:rPr>
                    <w:t>m</w:t>
                  </w:r>
                  <w:r>
                    <w:rPr>
                      <w:color w:val="auto"/>
                      <w:highlight w:val="none"/>
                      <w:vertAlign w:val="superscript"/>
                    </w:rPr>
                    <w:t>3</w:t>
                  </w:r>
                  <w:r>
                    <w:rPr>
                      <w:color w:val="auto"/>
                      <w:highlight w:val="none"/>
                    </w:rPr>
                    <w:t>/a。</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由市政给水管网供给，用水量约为</w:t>
                  </w:r>
                  <w:r>
                    <w:rPr>
                      <w:rFonts w:hint="eastAsia"/>
                      <w:color w:val="000000" w:themeColor="text1"/>
                      <w:highlight w:val="none"/>
                      <w:lang w:val="en-US" w:eastAsia="zh-CN"/>
                      <w14:textFill>
                        <w14:solidFill>
                          <w14:schemeClr w14:val="tx1"/>
                        </w14:solidFill>
                      </w14:textFill>
                    </w:rPr>
                    <w:t>726</w:t>
                  </w:r>
                  <w:r>
                    <w:rPr>
                      <w:color w:val="000000" w:themeColor="text1"/>
                      <w:highlight w:val="none"/>
                      <w14:textFill>
                        <w14:solidFill>
                          <w14:schemeClr w14:val="tx1"/>
                        </w14:solidFill>
                      </w14:textFill>
                    </w:rPr>
                    <w:t>m</w:t>
                  </w:r>
                  <w:r>
                    <w:rPr>
                      <w:color w:val="000000" w:themeColor="text1"/>
                      <w:highlight w:val="none"/>
                      <w:vertAlign w:val="superscript"/>
                      <w14:textFill>
                        <w14:solidFill>
                          <w14:schemeClr w14:val="tx1"/>
                        </w14:solidFill>
                      </w14:textFill>
                    </w:rPr>
                    <w:t>3</w:t>
                  </w:r>
                  <w:r>
                    <w:rPr>
                      <w:color w:val="000000" w:themeColor="text1"/>
                      <w:highlight w:val="none"/>
                      <w14:textFill>
                        <w14:solidFill>
                          <w14:schemeClr w14:val="tx1"/>
                        </w14:solidFill>
                      </w14:textFill>
                    </w:rPr>
                    <w:t>/a。</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 xml:space="preserve">项目区域内给水水源由城市给水管网供给；从宁西路给水管网引入，负责本区域所需的全部用水。扩建后全厂用水量约 </w:t>
                  </w:r>
                  <w:r>
                    <w:rPr>
                      <w:rFonts w:hint="eastAsia"/>
                      <w:color w:val="000000" w:themeColor="text1"/>
                      <w:highlight w:val="none"/>
                      <w:lang w:val="en-US" w:eastAsia="zh-CN"/>
                      <w14:textFill>
                        <w14:solidFill>
                          <w14:schemeClr w14:val="tx1"/>
                        </w14:solidFill>
                      </w14:textFill>
                    </w:rPr>
                    <w:t>20008.23</w:t>
                  </w:r>
                  <w:r>
                    <w:rPr>
                      <w:color w:val="000000" w:themeColor="text1"/>
                      <w:highlight w:val="none"/>
                      <w14:textFill>
                        <w14:solidFill>
                          <w14:schemeClr w14:val="tx1"/>
                        </w14:solidFill>
                      </w14:textFill>
                    </w:rPr>
                    <w:t>m</w:t>
                  </w:r>
                  <w:r>
                    <w:rPr>
                      <w:color w:val="000000" w:themeColor="text1"/>
                      <w:highlight w:val="none"/>
                      <w:vertAlign w:val="superscript"/>
                      <w14:textFill>
                        <w14:solidFill>
                          <w14:schemeClr w14:val="tx1"/>
                        </w14:solidFill>
                      </w14:textFill>
                    </w:rPr>
                    <w:t>3</w:t>
                  </w:r>
                  <w:r>
                    <w:rPr>
                      <w:color w:val="000000" w:themeColor="text1"/>
                      <w:highlight w:val="none"/>
                      <w14:textFill>
                        <w14:solidFill>
                          <w14:schemeClr w14:val="tx1"/>
                        </w14:solidFill>
                      </w14:textFill>
                    </w:rPr>
                    <w:t>/a。</w:t>
                  </w:r>
                </w:p>
              </w:tc>
              <w:tc>
                <w:tcPr>
                  <w:tcW w:w="1020" w:type="dxa"/>
                  <w:vMerge w:val="restart"/>
                  <w:vAlign w:val="center"/>
                </w:tcPr>
                <w:p>
                  <w:pPr>
                    <w:pStyle w:val="17"/>
                    <w:bidi w:val="0"/>
                    <w:rPr>
                      <w:highlight w:val="none"/>
                      <w:lang w:eastAsia="en-US"/>
                    </w:rPr>
                  </w:pPr>
                  <w:r>
                    <w:rPr>
                      <w:rFonts w:hint="eastAsia"/>
                      <w:highlight w:val="none"/>
                    </w:rPr>
                    <w:t>依托现有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排水</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项目排水系统实行雨、污分流。</w:t>
                  </w:r>
                  <w:r>
                    <w:rPr>
                      <w:rFonts w:hint="eastAsia"/>
                      <w:highlight w:val="none"/>
                    </w:rPr>
                    <w:t>浓水和循环冷却水为清净下水，直接排市政污水管网。餐饮废水经过油水分离器预处理后和生活污水进入化粪池处理，汇同</w:t>
                  </w:r>
                  <w:r>
                    <w:rPr>
                      <w:highlight w:val="none"/>
                    </w:rPr>
                    <w:t>污水处理站处理后（处理工艺为集水池→气浮一体化设备→生化处理→活性砂过滤系统，处理能力为理能力为72t/d）满足合肥西部组团污水处理厂接管标准要求后，通过市政污水管网进入西部组团污水处理厂集中处理</w:t>
                  </w:r>
                  <w:r>
                    <w:rPr>
                      <w:rFonts w:hint="eastAsia"/>
                      <w:highlight w:val="none"/>
                      <w:lang w:eastAsia="zh-CN"/>
                    </w:rPr>
                    <w:t>，尾水排入派河截导污工程，最终进入巢湖</w:t>
                  </w:r>
                  <w:r>
                    <w:rPr>
                      <w:highlight w:val="none"/>
                    </w:rPr>
                    <w:t>。雨水排放本着由高向低，就近排放的原则，根据区域本身特点及外部管网情况，最终集中排入市政雨水管网。</w:t>
                  </w:r>
                  <w:r>
                    <w:rPr>
                      <w:rFonts w:hint="eastAsia"/>
                      <w:highlight w:val="none"/>
                    </w:rPr>
                    <w:t>废水量约</w:t>
                  </w:r>
                  <w:r>
                    <w:rPr>
                      <w:rFonts w:hint="eastAsia"/>
                      <w:i w:val="0"/>
                      <w:iCs w:val="0"/>
                      <w:highlight w:val="none"/>
                    </w:rPr>
                    <w:t>131</w:t>
                  </w:r>
                  <w:r>
                    <w:rPr>
                      <w:rFonts w:hint="eastAsia"/>
                      <w:i w:val="0"/>
                      <w:iCs w:val="0"/>
                      <w:highlight w:val="none"/>
                      <w:lang w:val="en-US" w:eastAsia="zh-CN"/>
                    </w:rPr>
                    <w:t>7</w:t>
                  </w:r>
                  <w:r>
                    <w:rPr>
                      <w:rFonts w:hint="eastAsia"/>
                      <w:i w:val="0"/>
                      <w:iCs w:val="0"/>
                      <w:highlight w:val="none"/>
                    </w:rPr>
                    <w:t>2.</w:t>
                  </w:r>
                  <w:r>
                    <w:rPr>
                      <w:rFonts w:hint="eastAsia"/>
                      <w:i w:val="0"/>
                      <w:iCs w:val="0"/>
                      <w:highlight w:val="none"/>
                      <w:lang w:val="en-US" w:eastAsia="zh-CN"/>
                    </w:rPr>
                    <w:t>7</w:t>
                  </w:r>
                  <w:r>
                    <w:rPr>
                      <w:rFonts w:hint="eastAsia"/>
                      <w:i w:val="0"/>
                      <w:iCs w:val="0"/>
                      <w:highlight w:val="none"/>
                    </w:rPr>
                    <w:t>3</w:t>
                  </w:r>
                  <w:r>
                    <w:rPr>
                      <w:i w:val="0"/>
                      <w:iCs w:val="0"/>
                      <w:color w:val="auto"/>
                      <w:highlight w:val="none"/>
                    </w:rPr>
                    <w:t>m</w:t>
                  </w:r>
                  <w:r>
                    <w:rPr>
                      <w:i w:val="0"/>
                      <w:iCs w:val="0"/>
                      <w:color w:val="auto"/>
                      <w:highlight w:val="none"/>
                      <w:vertAlign w:val="superscript"/>
                    </w:rPr>
                    <w:t>3</w:t>
                  </w:r>
                  <w:r>
                    <w:rPr>
                      <w:i w:val="0"/>
                      <w:iCs w:val="0"/>
                      <w:color w:val="auto"/>
                      <w:highlight w:val="none"/>
                    </w:rPr>
                    <w:t>/a</w:t>
                  </w:r>
                  <w:r>
                    <w:rPr>
                      <w:rFonts w:hint="eastAsia"/>
                      <w:i w:val="0"/>
                      <w:iCs w:val="0"/>
                      <w:color w:val="auto"/>
                      <w:highlight w:val="none"/>
                    </w:rPr>
                    <w:t>。</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厂区排水实行“雨污分流、清污分流”的排水体制。厂区已建设雨污分流管网，</w:t>
                  </w:r>
                  <w:r>
                    <w:rPr>
                      <w:rFonts w:hint="eastAsia"/>
                      <w:highlight w:val="none"/>
                    </w:rPr>
                    <w:t>餐饮废水经过油水分离器预处理后和生活污水、未可预见废水进入化粪池处理，处理后的废水</w:t>
                  </w:r>
                  <w:r>
                    <w:rPr>
                      <w:highlight w:val="none"/>
                    </w:rPr>
                    <w:t>接入市政污水管网排入西部组团污水处理厂处理，尾水排入派河截导污工程，最终进入巢湖。</w:t>
                  </w:r>
                  <w:r>
                    <w:rPr>
                      <w:rFonts w:hint="eastAsia"/>
                      <w:highlight w:val="none"/>
                    </w:rPr>
                    <w:t>废水量约</w:t>
                  </w:r>
                  <w:r>
                    <w:rPr>
                      <w:rFonts w:hint="eastAsia"/>
                      <w:color w:val="000000" w:themeColor="text1"/>
                      <w:highlight w:val="none"/>
                      <w:lang w:val="en-US" w:eastAsia="zh-CN"/>
                      <w14:textFill>
                        <w14:solidFill>
                          <w14:schemeClr w14:val="tx1"/>
                        </w14:solidFill>
                      </w14:textFill>
                    </w:rPr>
                    <w:t>617.1</w:t>
                  </w:r>
                  <w:r>
                    <w:rPr>
                      <w:rFonts w:hint="eastAsia"/>
                      <w:color w:val="000000" w:themeColor="text1"/>
                      <w:highlight w:val="none"/>
                      <w14:textFill>
                        <w14:solidFill>
                          <w14:schemeClr w14:val="tx1"/>
                        </w14:solidFill>
                      </w14:textFill>
                    </w:rPr>
                    <w:t>m</w:t>
                  </w:r>
                  <w:r>
                    <w:rPr>
                      <w:rFonts w:hint="eastAsia"/>
                      <w:color w:val="000000" w:themeColor="text1"/>
                      <w:highlight w:val="none"/>
                      <w:vertAlign w:val="superscript"/>
                      <w14:textFill>
                        <w14:solidFill>
                          <w14:schemeClr w14:val="tx1"/>
                        </w14:solidFill>
                      </w14:textFill>
                    </w:rPr>
                    <w:t>3</w:t>
                  </w:r>
                  <w:r>
                    <w:rPr>
                      <w:rFonts w:hint="eastAsia"/>
                      <w:color w:val="000000" w:themeColor="text1"/>
                      <w:highlight w:val="none"/>
                      <w14:textFill>
                        <w14:solidFill>
                          <w14:schemeClr w14:val="tx1"/>
                        </w14:solidFill>
                      </w14:textFill>
                    </w:rPr>
                    <w:t>/a</w:t>
                  </w:r>
                  <w:r>
                    <w:rPr>
                      <w:rFonts w:hint="eastAsia"/>
                      <w:highlight w:val="none"/>
                    </w:rPr>
                    <w:t>。</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highlight w:val="none"/>
                    </w:rPr>
                    <w:t>项目排水系统实行雨、污分流。</w:t>
                  </w:r>
                  <w:r>
                    <w:rPr>
                      <w:rFonts w:hint="eastAsia"/>
                      <w:highlight w:val="none"/>
                    </w:rPr>
                    <w:t>浓水和循环冷却水为清净下水，直接排市政污水管网。餐饮废水经过油水分离器预处理后和生活污水进入化粪池处理，汇同</w:t>
                  </w:r>
                  <w:r>
                    <w:rPr>
                      <w:highlight w:val="none"/>
                    </w:rPr>
                    <w:t>污水处理站处理后的</w:t>
                  </w:r>
                  <w:r>
                    <w:rPr>
                      <w:rFonts w:hint="eastAsia"/>
                      <w:highlight w:val="none"/>
                    </w:rPr>
                    <w:t>废水，</w:t>
                  </w:r>
                  <w:r>
                    <w:rPr>
                      <w:highlight w:val="none"/>
                    </w:rPr>
                    <w:t>满足合肥西部组团污水处理厂接管标准要求后，通过市政污水管网进入西部组团污水处理厂集中处理</w:t>
                  </w:r>
                  <w:r>
                    <w:rPr>
                      <w:rFonts w:hint="eastAsia"/>
                      <w:highlight w:val="none"/>
                      <w:lang w:eastAsia="zh-CN"/>
                    </w:rPr>
                    <w:t>，</w:t>
                  </w:r>
                  <w:r>
                    <w:rPr>
                      <w:highlight w:val="none"/>
                    </w:rPr>
                    <w:t>尾水排入派河截导污工程，最终进入巢湖。雨水排放本着由高向低，就近排放的原则，根据区域本身特点及外部管网情况，最终集中排入市政雨水管网。</w:t>
                  </w:r>
                  <w:r>
                    <w:rPr>
                      <w:rFonts w:hint="eastAsia"/>
                      <w:highlight w:val="none"/>
                    </w:rPr>
                    <w:t>废水量约</w:t>
                  </w:r>
                  <w:r>
                    <w:rPr>
                      <w:rFonts w:hint="eastAsia"/>
                      <w:color w:val="000000" w:themeColor="text1"/>
                      <w:highlight w:val="none"/>
                      <w:lang w:val="en-US" w:eastAsia="zh-CN"/>
                      <w14:textFill>
                        <w14:solidFill>
                          <w14:schemeClr w14:val="tx1"/>
                        </w14:solidFill>
                      </w14:textFill>
                    </w:rPr>
                    <w:t>13789.83</w:t>
                  </w:r>
                  <w:r>
                    <w:rPr>
                      <w:rFonts w:hint="eastAsia"/>
                      <w:color w:val="000000" w:themeColor="text1"/>
                      <w:highlight w:val="none"/>
                      <w14:textFill>
                        <w14:solidFill>
                          <w14:schemeClr w14:val="tx1"/>
                        </w14:solidFill>
                      </w14:textFill>
                    </w:rPr>
                    <w:t>m</w:t>
                  </w:r>
                  <w:r>
                    <w:rPr>
                      <w:rFonts w:hint="eastAsia"/>
                      <w:color w:val="000000" w:themeColor="text1"/>
                      <w:highlight w:val="none"/>
                      <w:vertAlign w:val="superscript"/>
                      <w14:textFill>
                        <w14:solidFill>
                          <w14:schemeClr w14:val="tx1"/>
                        </w14:solidFill>
                      </w14:textFill>
                    </w:rPr>
                    <w:t>3</w:t>
                  </w:r>
                  <w:r>
                    <w:rPr>
                      <w:rFonts w:hint="eastAsia"/>
                      <w:color w:val="000000" w:themeColor="text1"/>
                      <w:highlight w:val="none"/>
                      <w14:textFill>
                        <w14:solidFill>
                          <w14:schemeClr w14:val="tx1"/>
                        </w14:solidFill>
                      </w14:textFill>
                    </w:rPr>
                    <w:t>/a。</w:t>
                  </w:r>
                </w:p>
              </w:tc>
              <w:tc>
                <w:tcPr>
                  <w:tcW w:w="1020" w:type="dxa"/>
                  <w:vMerge w:val="continue"/>
                  <w:vAlign w:val="center"/>
                </w:tcPr>
                <w:p>
                  <w:pPr>
                    <w:pStyle w:val="17"/>
                    <w:bidi w:val="0"/>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供电</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市政电网接入项目区配电房，配电房位于项目区辅房内，项目区年耗电量7</w:t>
                  </w:r>
                  <w:r>
                    <w:rPr>
                      <w:rFonts w:hint="eastAsia"/>
                      <w:highlight w:val="none"/>
                    </w:rPr>
                    <w:t>7</w:t>
                  </w:r>
                  <w:r>
                    <w:rPr>
                      <w:highlight w:val="none"/>
                    </w:rPr>
                    <w:t>0万kWh/a</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color w:val="0000FF"/>
                      <w:highlight w:val="none"/>
                    </w:rPr>
                  </w:pPr>
                  <w:r>
                    <w:rPr>
                      <w:color w:val="000000" w:themeColor="text1"/>
                      <w:highlight w:val="none"/>
                      <w14:textFill>
                        <w14:solidFill>
                          <w14:schemeClr w14:val="tx1"/>
                        </w14:solidFill>
                      </w14:textFill>
                    </w:rPr>
                    <w:t>由市政电网供给，用电量约</w:t>
                  </w:r>
                  <w:r>
                    <w:rPr>
                      <w:rFonts w:hint="eastAsia"/>
                      <w:color w:val="000000" w:themeColor="text1"/>
                      <w:highlight w:val="none"/>
                      <w14:textFill>
                        <w14:solidFill>
                          <w14:schemeClr w14:val="tx1"/>
                        </w14:solidFill>
                      </w14:textFill>
                    </w:rPr>
                    <w:t>43.2</w:t>
                  </w:r>
                  <w:r>
                    <w:rPr>
                      <w:color w:val="000000" w:themeColor="text1"/>
                      <w:highlight w:val="none"/>
                      <w14:textFill>
                        <w14:solidFill>
                          <w14:schemeClr w14:val="tx1"/>
                        </w14:solidFill>
                      </w14:textFill>
                    </w:rPr>
                    <w:t>万kWh/a。</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color w:val="0000FF"/>
                      <w:highlight w:val="none"/>
                    </w:rPr>
                  </w:pPr>
                  <w:r>
                    <w:rPr>
                      <w:color w:val="000000" w:themeColor="text1"/>
                      <w:highlight w:val="none"/>
                      <w14:textFill>
                        <w14:solidFill>
                          <w14:schemeClr w14:val="tx1"/>
                        </w14:solidFill>
                      </w14:textFill>
                    </w:rPr>
                    <w:t>市政电网接入项目区配电房，配电房位于项目区辅房内，项目区年耗电量</w:t>
                  </w:r>
                  <w:r>
                    <w:rPr>
                      <w:rFonts w:hint="eastAsia"/>
                      <w:color w:val="000000" w:themeColor="text1"/>
                      <w:highlight w:val="none"/>
                      <w14:textFill>
                        <w14:solidFill>
                          <w14:schemeClr w14:val="tx1"/>
                        </w14:solidFill>
                      </w14:textFill>
                    </w:rPr>
                    <w:t>813.2</w:t>
                  </w:r>
                  <w:r>
                    <w:rPr>
                      <w:color w:val="000000" w:themeColor="text1"/>
                      <w:highlight w:val="none"/>
                      <w14:textFill>
                        <w14:solidFill>
                          <w14:schemeClr w14:val="tx1"/>
                        </w14:solidFill>
                      </w14:textFill>
                    </w:rPr>
                    <w:t>万kWh/a</w:t>
                  </w:r>
                </w:p>
              </w:tc>
              <w:tc>
                <w:tcPr>
                  <w:tcW w:w="1020" w:type="dxa"/>
                  <w:vMerge w:val="continue"/>
                  <w:vAlign w:val="center"/>
                </w:tcPr>
                <w:p>
                  <w:pPr>
                    <w:pStyle w:val="17"/>
                    <w:bidi w:val="0"/>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jc w:val="center"/>
              </w:trPr>
              <w:tc>
                <w:tcPr>
                  <w:tcW w:w="64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环保工程</w:t>
                  </w:r>
                </w:p>
              </w:tc>
              <w:tc>
                <w:tcPr>
                  <w:tcW w:w="1309" w:type="dxa"/>
                  <w:gridSpan w:val="3"/>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废气处理</w:t>
                  </w:r>
                </w:p>
              </w:tc>
              <w:tc>
                <w:tcPr>
                  <w:tcW w:w="3368"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color w:val="000000" w:themeColor="text1"/>
                      <w:highlight w:val="none"/>
                      <w14:textFill>
                        <w14:solidFill>
                          <w14:schemeClr w14:val="tx1"/>
                        </w14:solidFill>
                      </w14:textFill>
                    </w:rPr>
                    <w:t>食堂油烟</w:t>
                  </w:r>
                  <w:r>
                    <w:rPr>
                      <w:highlight w:val="none"/>
                    </w:rPr>
                    <w:t>经油烟净化系统处理后达标排放，注塑废气通过集气罩收集后经二级活性炭吸附处理后15m高排气筒（DA001）排放；焊接烟尘经自带净化除尘系统处理后达标排放；测试液废气采用油雾净化器</w:t>
                  </w:r>
                  <w:r>
                    <w:rPr>
                      <w:rFonts w:hint="eastAsia"/>
                      <w:highlight w:val="none"/>
                      <w:lang w:eastAsia="zh-CN"/>
                    </w:rPr>
                    <w:t>（喷淋+电离吸附+一级活性炭吸附）</w:t>
                  </w:r>
                  <w:r>
                    <w:rPr>
                      <w:highlight w:val="none"/>
                    </w:rPr>
                    <w:t>处理后通过15m高排气筒（DA002）排放；切削液废气采用油雾净化器</w:t>
                  </w:r>
                  <w:r>
                    <w:rPr>
                      <w:rFonts w:hint="eastAsia"/>
                      <w:highlight w:val="none"/>
                      <w:lang w:eastAsia="zh-CN"/>
                    </w:rPr>
                    <w:t>（电离吸附+一级活性炭吸附）</w:t>
                  </w:r>
                  <w:r>
                    <w:rPr>
                      <w:rFonts w:hint="eastAsia"/>
                      <w:highlight w:val="none"/>
                    </w:rPr>
                    <w:t>处理后通过15高排气筒（DA003）排放；高压清洗及烘干废气无组织排放，通过新风系统排出；电化学去毛刺产生的硝酸雾通过空调新风系统排出车间外；实验室清洗废气和测试废气经集气罩收集后由二级活性炭处理后通过15m高排气筒（DA004）排放。</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color w:val="000000" w:themeColor="text1"/>
                      <w:highlight w:val="none"/>
                      <w14:textFill>
                        <w14:solidFill>
                          <w14:schemeClr w14:val="tx1"/>
                        </w14:solidFill>
                      </w14:textFill>
                    </w:rPr>
                    <w:t>食堂油烟</w:t>
                  </w:r>
                  <w:r>
                    <w:rPr>
                      <w:rFonts w:hint="eastAsia"/>
                      <w:color w:val="000000" w:themeColor="text1"/>
                      <w:highlight w:val="none"/>
                      <w:lang w:val="en-US" w:eastAsia="zh-CN"/>
                      <w14:textFill>
                        <w14:solidFill>
                          <w14:schemeClr w14:val="tx1"/>
                        </w14:solidFill>
                      </w14:textFill>
                    </w:rPr>
                    <w:t>依托已有的</w:t>
                  </w:r>
                  <w:r>
                    <w:rPr>
                      <w:rFonts w:hint="eastAsia"/>
                      <w:color w:val="000000" w:themeColor="text1"/>
                      <w:highlight w:val="none"/>
                      <w14:textFill>
                        <w14:solidFill>
                          <w14:schemeClr w14:val="tx1"/>
                        </w14:solidFill>
                      </w14:textFill>
                    </w:rPr>
                    <w:t>油烟净化系统处理后达标排放</w:t>
                  </w:r>
                </w:p>
              </w:tc>
              <w:tc>
                <w:tcPr>
                  <w:tcW w:w="3982"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color w:val="000000" w:themeColor="text1"/>
                      <w:highlight w:val="none"/>
                      <w14:textFill>
                        <w14:solidFill>
                          <w14:schemeClr w14:val="tx1"/>
                        </w14:solidFill>
                      </w14:textFill>
                    </w:rPr>
                    <w:t>食堂油烟</w:t>
                  </w:r>
                  <w:r>
                    <w:rPr>
                      <w:highlight w:val="none"/>
                    </w:rPr>
                    <w:t>经油烟净化系统处理后达标排放，注塑废气通过集气罩收集后经二级活性炭吸附处理后15m高排气筒（DA001）排放；焊接烟尘经自带净化除尘系统处理后达标排放；测试液废气采用油雾净化器</w:t>
                  </w:r>
                  <w:r>
                    <w:rPr>
                      <w:rFonts w:hint="eastAsia"/>
                      <w:highlight w:val="none"/>
                      <w:lang w:eastAsia="zh-CN"/>
                    </w:rPr>
                    <w:t>（喷淋+电离吸附+一级活性炭吸附）</w:t>
                  </w:r>
                  <w:r>
                    <w:rPr>
                      <w:highlight w:val="none"/>
                    </w:rPr>
                    <w:t>处理后通过15m高排气筒（DA002）排放；切削液废气采用油雾净化器</w:t>
                  </w:r>
                  <w:r>
                    <w:rPr>
                      <w:rFonts w:hint="eastAsia"/>
                      <w:highlight w:val="none"/>
                      <w:lang w:eastAsia="zh-CN"/>
                    </w:rPr>
                    <w:t>（电离吸附+一级活性炭吸附）</w:t>
                  </w:r>
                  <w:r>
                    <w:rPr>
                      <w:highlight w:val="none"/>
                    </w:rPr>
                    <w:t>处理后通过15高排气筒（DA003）排放</w:t>
                  </w:r>
                  <w:r>
                    <w:rPr>
                      <w:rFonts w:hint="eastAsia"/>
                      <w:highlight w:val="none"/>
                    </w:rPr>
                    <w:t>；高压清洗及烘干废气无组织排放，通过新风系统排出；电化学去毛刺产生的硝酸雾通过空调新风系统排出车间外；实验室清洗废气和测试废气经集气罩收集后由二级活性炭处理后通过15m高排气筒（DA004）排放。</w:t>
                  </w:r>
                </w:p>
              </w:tc>
              <w:tc>
                <w:tcPr>
                  <w:tcW w:w="1020" w:type="dxa"/>
                  <w:vAlign w:val="center"/>
                </w:tcPr>
                <w:p>
                  <w:pPr>
                    <w:pStyle w:val="17"/>
                    <w:bidi w:val="0"/>
                    <w:rPr>
                      <w:rFonts w:hint="eastAsia"/>
                      <w:highlight w:val="none"/>
                      <w:lang w:val="en-US" w:eastAsia="zh-CN"/>
                    </w:rPr>
                  </w:pPr>
                  <w:r>
                    <w:rPr>
                      <w:rFonts w:hint="eastAsia"/>
                      <w:highlight w:val="none"/>
                      <w:lang w:val="en-US" w:eastAsia="zh-CN"/>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3368"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焊接烟尘经自带净化除尘系统处理后达标排放。</w:t>
                  </w:r>
                </w:p>
              </w:tc>
              <w:tc>
                <w:tcPr>
                  <w:tcW w:w="398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rFonts w:hint="eastAsia"/>
                      <w:color w:val="000000" w:themeColor="text1"/>
                      <w:highlight w:val="none"/>
                      <w14:textFill>
                        <w14:solidFill>
                          <w14:schemeClr w14:val="tx1"/>
                        </w14:solidFill>
                      </w14:textFill>
                    </w:rPr>
                  </w:pPr>
                </w:p>
              </w:tc>
              <w:tc>
                <w:tcPr>
                  <w:tcW w:w="102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rFonts w:hint="eastAsia"/>
                      <w:color w:val="000000" w:themeColor="text1"/>
                      <w:highlight w:val="none"/>
                      <w14:textFill>
                        <w14:solidFill>
                          <w14:schemeClr w14:val="tx1"/>
                        </w14:solidFill>
                      </w14:textFill>
                    </w:rPr>
                  </w:pPr>
                  <w:r>
                    <w:rPr>
                      <w:rFonts w:hint="eastAsia"/>
                      <w:highlight w:val="none"/>
                    </w:rPr>
                    <w:t>新建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废水处理</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项目废水实行雨污分流，餐饮废水经隔油池预处理后和生活污水经化粪池处理，生产废水经污水处理站（处理工艺为集水池→气浮一体化设备→生化处理→活性砂过滤系统，处理能力为理能力为72t/d）处理，处理后综合废水回合后须满足合肥西部组团污水处理厂接管标准要求后经市政管网排向西部组团污水处理厂，处理达标后排向派河。</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餐饮废水经隔油池预处理后和生活污水</w:t>
                  </w:r>
                  <w:r>
                    <w:rPr>
                      <w:rFonts w:hint="eastAsia"/>
                      <w:highlight w:val="none"/>
                    </w:rPr>
                    <w:t>、未可预见废水</w:t>
                  </w:r>
                  <w:r>
                    <w:rPr>
                      <w:highlight w:val="none"/>
                    </w:rPr>
                    <w:t>经化粪池处理，处理后的综合废水接入市政污水管网排入西部组团污水处理厂处理，尾水排入派河截导污工程，最终进入巢湖。</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项目废水实行雨污分流，餐饮废水经隔油池预处理后和生活污水、保洁废水经化粪池处理，生产废水经污水处理站（处理工艺为集水池→气浮一体化设备→生化处理→活性砂过滤系统，处理能力为理能力为72t/d）处理，处理后综合废水回合后须满足合肥西部组团污水处理厂接管标准要求后经市政管网排向西部组团污水处理厂，处理达标后排向派河。</w:t>
                  </w:r>
                </w:p>
              </w:tc>
              <w:tc>
                <w:tcPr>
                  <w:tcW w:w="102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依托现有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1309"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噪声</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选用低噪声设备、基础减振、厂房隔声等降噪措施。</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选用低噪声设备、基础减振、厂房隔声等降噪措施。</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选用低噪声设备、基础减振、厂房隔声等降噪措施。</w:t>
                  </w:r>
                </w:p>
              </w:tc>
              <w:tc>
                <w:tcPr>
                  <w:tcW w:w="1020"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新建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654" w:type="dxa"/>
                  <w:gridSpan w:val="2"/>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固废治理</w:t>
                  </w:r>
                </w:p>
              </w:tc>
              <w:tc>
                <w:tcPr>
                  <w:tcW w:w="65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生活垃圾</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职工办公生活垃圾分类收集后，由环卫部门统一收集处理；食堂</w:t>
                  </w:r>
                  <w:r>
                    <w:rPr>
                      <w:rFonts w:hint="eastAsia"/>
                      <w:highlight w:val="none"/>
                    </w:rPr>
                    <w:t>垃圾、废油脂等委托合肥市飞杰市政工程服务有限公司收集处理。</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生活垃圾分类收集、袋装后由环卫部门统一清运处置。</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职工办公生活垃圾分类收集后，由环卫部门统一收集处理；食堂垃圾、废油脂等委托合肥市飞杰市政工程服务有限公司收集处理。</w:t>
                  </w:r>
                </w:p>
              </w:tc>
              <w:tc>
                <w:tcPr>
                  <w:tcW w:w="1020"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lang w:eastAsia="en-US"/>
                    </w:rPr>
                  </w:pPr>
                  <w:r>
                    <w:rPr>
                      <w:rFonts w:hint="eastAsia"/>
                      <w:highlight w:val="none"/>
                    </w:rPr>
                    <w:t>依托现有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654" w:type="dxa"/>
                  <w:gridSpan w:val="2"/>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65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一般固废</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一般固废间位于联合厂房外西北角，建筑面积100m</w:t>
                  </w:r>
                  <w:r>
                    <w:rPr>
                      <w:rFonts w:hint="eastAsia"/>
                      <w:highlight w:val="none"/>
                      <w:vertAlign w:val="superscript"/>
                    </w:rPr>
                    <w:t>2</w:t>
                  </w:r>
                  <w:r>
                    <w:rPr>
                      <w:highlight w:val="none"/>
                    </w:rPr>
                    <w:t>，废包装材料、边角料等一般固废委托安徽天所运达再生资源有限公司进行处理。</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依托现有一般固废间，项目不合格品收集后外售；其他一般固废储存在一般固废间，外售处理。</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一般固废间位于联合厂房外西北角，建筑面积100m</w:t>
                  </w:r>
                  <w:r>
                    <w:rPr>
                      <w:rFonts w:hint="eastAsia"/>
                      <w:highlight w:val="none"/>
                      <w:vertAlign w:val="superscript"/>
                    </w:rPr>
                    <w:t>2</w:t>
                  </w:r>
                  <w:r>
                    <w:rPr>
                      <w:highlight w:val="none"/>
                    </w:rPr>
                    <w:t>，项目边角料及不合格品收集后外售；其他一般固废储存在一般固废库，外售处理。</w:t>
                  </w:r>
                </w:p>
              </w:tc>
              <w:tc>
                <w:tcPr>
                  <w:tcW w:w="1020"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jc w:val="center"/>
              </w:trPr>
              <w:tc>
                <w:tcPr>
                  <w:tcW w:w="642"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654" w:type="dxa"/>
                  <w:gridSpan w:val="2"/>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c>
                <w:tcPr>
                  <w:tcW w:w="65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危险固废</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危废暂存间位于联合厂房外西</w:t>
                  </w:r>
                </w:p>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侧，化学品库1和化学品库2中间，建筑面积为100m</w:t>
                  </w:r>
                  <w:r>
                    <w:rPr>
                      <w:rFonts w:hint="eastAsia"/>
                      <w:highlight w:val="none"/>
                      <w:vertAlign w:val="superscript"/>
                    </w:rPr>
                    <w:t>2</w:t>
                  </w:r>
                  <w:r>
                    <w:rPr>
                      <w:highlight w:val="none"/>
                    </w:rPr>
                    <w:t>，设置收集槽（体积3.5m</w:t>
                  </w:r>
                  <w:r>
                    <w:rPr>
                      <w:highlight w:val="none"/>
                      <w:vertAlign w:val="superscript"/>
                    </w:rPr>
                    <w:t>3</w:t>
                  </w:r>
                  <w:r>
                    <w:rPr>
                      <w:highlight w:val="none"/>
                    </w:rPr>
                    <w:t>）和集液池（体积2m</w:t>
                  </w:r>
                  <w:r>
                    <w:rPr>
                      <w:highlight w:val="none"/>
                      <w:vertAlign w:val="superscript"/>
                    </w:rPr>
                    <w:t>3</w:t>
                  </w:r>
                  <w:r>
                    <w:rPr>
                      <w:highlight w:val="none"/>
                    </w:rPr>
                    <w:t>），内部配备了防渗托盘。车间产生的废切削液、含油滤渣、测试液、废活性炭等暂存于项目区危废暂存间，委托安徽超越环保科技股份有限公司收集处置。</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依托现有危废暂存间，项目危险废物主要包括润滑油</w:t>
                  </w:r>
                  <w:r>
                    <w:rPr>
                      <w:rFonts w:hint="eastAsia"/>
                      <w:highlight w:val="none"/>
                      <w:lang w:eastAsia="zh-CN"/>
                    </w:rPr>
                    <w:t>、</w:t>
                  </w:r>
                  <w:r>
                    <w:rPr>
                      <w:highlight w:val="none"/>
                    </w:rPr>
                    <w:t>润滑油桶及润滑</w:t>
                  </w:r>
                  <w:r>
                    <w:rPr>
                      <w:rFonts w:hint="eastAsia"/>
                      <w:highlight w:val="none"/>
                      <w:lang w:val="en-US" w:eastAsia="zh-CN"/>
                    </w:rPr>
                    <w:t>脂</w:t>
                  </w:r>
                  <w:r>
                    <w:rPr>
                      <w:highlight w:val="none"/>
                    </w:rPr>
                    <w:t>桶</w:t>
                  </w:r>
                  <w:r>
                    <w:rPr>
                      <w:color w:val="000000" w:themeColor="text1"/>
                      <w:highlight w:val="none"/>
                      <w14:textFill>
                        <w14:solidFill>
                          <w14:schemeClr w14:val="tx1"/>
                        </w14:solidFill>
                      </w14:textFill>
                    </w:rPr>
                    <w:t>等</w:t>
                  </w:r>
                  <w:r>
                    <w:rPr>
                      <w:highlight w:val="none"/>
                    </w:rPr>
                    <w:t>，集中收集暂存在危废暂存间，定期交由有资质单位集中处置。</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危废暂存间位于联合厂房外西侧，化学品库1和化学品库2中间，建筑面积为100m</w:t>
                  </w:r>
                  <w:r>
                    <w:rPr>
                      <w:rFonts w:hint="eastAsia"/>
                      <w:highlight w:val="none"/>
                      <w:vertAlign w:val="superscript"/>
                    </w:rPr>
                    <w:t>2</w:t>
                  </w:r>
                  <w:r>
                    <w:rPr>
                      <w:highlight w:val="none"/>
                    </w:rPr>
                    <w:t>。</w:t>
                  </w:r>
                  <w:r>
                    <w:rPr>
                      <w:rFonts w:hint="eastAsia"/>
                      <w:highlight w:val="none"/>
                    </w:rPr>
                    <w:t>设置收集槽（体积3.5m</w:t>
                  </w:r>
                  <w:r>
                    <w:rPr>
                      <w:rFonts w:hint="eastAsia"/>
                      <w:highlight w:val="none"/>
                      <w:vertAlign w:val="superscript"/>
                    </w:rPr>
                    <w:t>3</w:t>
                  </w:r>
                  <w:r>
                    <w:rPr>
                      <w:rFonts w:hint="eastAsia"/>
                      <w:highlight w:val="none"/>
                    </w:rPr>
                    <w:t>）和集液池（体积2m</w:t>
                  </w:r>
                  <w:r>
                    <w:rPr>
                      <w:rFonts w:hint="eastAsia"/>
                      <w:highlight w:val="none"/>
                      <w:vertAlign w:val="superscript"/>
                    </w:rPr>
                    <w:t>3</w:t>
                  </w:r>
                  <w:r>
                    <w:rPr>
                      <w:rFonts w:hint="eastAsia"/>
                      <w:highlight w:val="none"/>
                    </w:rPr>
                    <w:t>），内部配备了防渗托盘。车间产生的废切削液、含油滤渣、测试液、</w:t>
                  </w:r>
                  <w:r>
                    <w:rPr>
                      <w:color w:val="000000" w:themeColor="text1"/>
                      <w:highlight w:val="none"/>
                      <w14:textFill>
                        <w14:solidFill>
                          <w14:schemeClr w14:val="tx1"/>
                        </w14:solidFill>
                      </w14:textFill>
                    </w:rPr>
                    <w:t>废</w:t>
                  </w:r>
                  <w:r>
                    <w:rPr>
                      <w:highlight w:val="none"/>
                    </w:rPr>
                    <w:t>润滑油</w:t>
                  </w:r>
                  <w:r>
                    <w:rPr>
                      <w:rFonts w:hint="eastAsia"/>
                      <w:highlight w:val="none"/>
                      <w:lang w:eastAsia="zh-CN"/>
                    </w:rPr>
                    <w:t>、</w:t>
                  </w:r>
                  <w:r>
                    <w:rPr>
                      <w:rFonts w:hint="eastAsia"/>
                      <w:highlight w:val="none"/>
                      <w:lang w:val="en-US" w:eastAsia="zh-CN"/>
                    </w:rPr>
                    <w:t>废</w:t>
                  </w:r>
                  <w:r>
                    <w:rPr>
                      <w:highlight w:val="none"/>
                    </w:rPr>
                    <w:t>润滑油桶及润滑</w:t>
                  </w:r>
                  <w:r>
                    <w:rPr>
                      <w:rFonts w:hint="eastAsia"/>
                      <w:highlight w:val="none"/>
                      <w:lang w:val="en-US" w:eastAsia="zh-CN"/>
                    </w:rPr>
                    <w:t>脂</w:t>
                  </w:r>
                  <w:r>
                    <w:rPr>
                      <w:highlight w:val="none"/>
                    </w:rPr>
                    <w:t>桶</w:t>
                  </w:r>
                  <w:r>
                    <w:rPr>
                      <w:rFonts w:hint="eastAsia"/>
                      <w:color w:val="000000" w:themeColor="text1"/>
                      <w:highlight w:val="none"/>
                      <w14:textFill>
                        <w14:solidFill>
                          <w14:schemeClr w14:val="tx1"/>
                        </w14:solidFill>
                      </w14:textFill>
                    </w:rPr>
                    <w:t>、</w:t>
                  </w:r>
                  <w:r>
                    <w:rPr>
                      <w:rFonts w:hint="eastAsia"/>
                      <w:highlight w:val="none"/>
                    </w:rPr>
                    <w:t>废活性炭等暂存于项目区危废暂存间，委托安徽超越环保科技股份有限公司收集处置。</w:t>
                  </w:r>
                </w:p>
              </w:tc>
              <w:tc>
                <w:tcPr>
                  <w:tcW w:w="1020"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951" w:type="dxa"/>
                  <w:gridSpan w:val="4"/>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土壤及地下水污染防治措施</w:t>
                  </w:r>
                </w:p>
              </w:tc>
              <w:tc>
                <w:tcPr>
                  <w:tcW w:w="9545" w:type="dxa"/>
                  <w:gridSpan w:val="3"/>
                  <w:vAlign w:val="center"/>
                </w:tcPr>
                <w:p>
                  <w:pPr>
                    <w:pStyle w:val="17"/>
                    <w:keepNext w:val="0"/>
                    <w:keepLines w:val="0"/>
                    <w:pageBreakBefore w:val="0"/>
                    <w:widowControl w:val="0"/>
                    <w:kinsoku/>
                    <w:wordWrap/>
                    <w:overflowPunct/>
                    <w:topLinePunct w:val="0"/>
                    <w:autoSpaceDE w:val="0"/>
                    <w:autoSpaceDN w:val="0"/>
                    <w:bidi w:val="0"/>
                    <w:adjustRightInd w:val="0"/>
                    <w:snapToGrid w:val="0"/>
                    <w:jc w:val="both"/>
                    <w:textAlignment w:val="baseline"/>
                    <w:rPr>
                      <w:highlight w:val="none"/>
                    </w:rPr>
                  </w:pPr>
                  <w:r>
                    <w:rPr>
                      <w:highlight w:val="none"/>
                    </w:rPr>
                    <w:t>分区防渗措施，从源头控制，防止对项目所在地土壤、地下水污染：</w:t>
                  </w:r>
                </w:p>
                <w:p>
                  <w:pPr>
                    <w:pStyle w:val="17"/>
                    <w:keepNext w:val="0"/>
                    <w:keepLines w:val="0"/>
                    <w:pageBreakBefore w:val="0"/>
                    <w:widowControl w:val="0"/>
                    <w:kinsoku/>
                    <w:wordWrap/>
                    <w:overflowPunct/>
                    <w:topLinePunct w:val="0"/>
                    <w:autoSpaceDE w:val="0"/>
                    <w:autoSpaceDN w:val="0"/>
                    <w:bidi w:val="0"/>
                    <w:adjustRightInd w:val="0"/>
                    <w:snapToGrid w:val="0"/>
                    <w:jc w:val="both"/>
                    <w:textAlignment w:val="baseline"/>
                    <w:rPr>
                      <w:highlight w:val="none"/>
                    </w:rPr>
                  </w:pPr>
                  <w:r>
                    <w:rPr>
                      <w:highlight w:val="none"/>
                    </w:rPr>
                    <w:t>①项目化学品库、危废暂存间依托现有，现有防渗措施已完善。</w:t>
                  </w:r>
                </w:p>
                <w:p>
                  <w:pPr>
                    <w:pStyle w:val="17"/>
                    <w:keepNext w:val="0"/>
                    <w:keepLines w:val="0"/>
                    <w:pageBreakBefore w:val="0"/>
                    <w:widowControl w:val="0"/>
                    <w:kinsoku/>
                    <w:wordWrap/>
                    <w:overflowPunct/>
                    <w:topLinePunct w:val="0"/>
                    <w:autoSpaceDE w:val="0"/>
                    <w:autoSpaceDN w:val="0"/>
                    <w:bidi w:val="0"/>
                    <w:adjustRightInd w:val="0"/>
                    <w:snapToGrid w:val="0"/>
                    <w:jc w:val="both"/>
                    <w:textAlignment w:val="baseline"/>
                    <w:rPr>
                      <w:highlight w:val="none"/>
                    </w:rPr>
                  </w:pPr>
                  <w:r>
                    <w:rPr>
                      <w:highlight w:val="none"/>
                    </w:rPr>
                    <w:t>②项目其他地区按照一般防渗区进行防渗处理；根据建设项目实际情况，在混凝土地面基础上，采取水泥地面（等效黏土防渗层厚度≥1.5，渗透系数≤10</w:t>
                  </w:r>
                  <w:r>
                    <w:rPr>
                      <w:highlight w:val="none"/>
                      <w:vertAlign w:val="superscript"/>
                    </w:rPr>
                    <w:t>-7</w:t>
                  </w:r>
                  <w:r>
                    <w:rPr>
                      <w:highlight w:val="none"/>
                    </w:rPr>
                    <w:t>cm/s）。</w:t>
                  </w:r>
                </w:p>
              </w:tc>
              <w:tc>
                <w:tcPr>
                  <w:tcW w:w="1020" w:type="dxa"/>
                  <w:vMerge w:val="restart"/>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依托现有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951" w:type="dxa"/>
                  <w:gridSpan w:val="4"/>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风险防范措施</w:t>
                  </w:r>
                </w:p>
              </w:tc>
              <w:tc>
                <w:tcPr>
                  <w:tcW w:w="3368"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规范设置了雨污水排放口，悬挂了对应标识标志以及危废暂存间警示标志等。化学品库设置收集槽（体积4m</w:t>
                  </w:r>
                  <w:r>
                    <w:rPr>
                      <w:highlight w:val="none"/>
                      <w:vertAlign w:val="superscript"/>
                    </w:rPr>
                    <w:t>3</w:t>
                  </w:r>
                  <w:r>
                    <w:rPr>
                      <w:highlight w:val="none"/>
                    </w:rPr>
                    <w:t>）和集液池（体积为3m</w:t>
                  </w:r>
                  <w:r>
                    <w:rPr>
                      <w:highlight w:val="none"/>
                      <w:vertAlign w:val="superscript"/>
                    </w:rPr>
                    <w:t>3</w:t>
                  </w:r>
                  <w:r>
                    <w:rPr>
                      <w:highlight w:val="none"/>
                    </w:rPr>
                    <w:t>）。</w:t>
                  </w:r>
                </w:p>
              </w:tc>
              <w:tc>
                <w:tcPr>
                  <w:tcW w:w="2195"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rFonts w:hint="eastAsia"/>
                      <w:highlight w:val="none"/>
                    </w:rPr>
                    <w:t>依托现有</w:t>
                  </w:r>
                </w:p>
              </w:tc>
              <w:tc>
                <w:tcPr>
                  <w:tcW w:w="3982" w:type="dxa"/>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r>
                    <w:rPr>
                      <w:highlight w:val="none"/>
                    </w:rPr>
                    <w:t>规范设置了雨污水排放口，悬挂了对应标识标志以及危废暂存间警示标志等。化学品库设置收集槽（体积4m</w:t>
                  </w:r>
                  <w:r>
                    <w:rPr>
                      <w:highlight w:val="none"/>
                      <w:vertAlign w:val="superscript"/>
                    </w:rPr>
                    <w:t>3</w:t>
                  </w:r>
                  <w:r>
                    <w:rPr>
                      <w:highlight w:val="none"/>
                    </w:rPr>
                    <w:t>）和集液池（体积为3m</w:t>
                  </w:r>
                  <w:r>
                    <w:rPr>
                      <w:highlight w:val="none"/>
                      <w:vertAlign w:val="superscript"/>
                    </w:rPr>
                    <w:t>3</w:t>
                  </w:r>
                  <w:r>
                    <w:rPr>
                      <w:highlight w:val="none"/>
                    </w:rPr>
                    <w:t>）。</w:t>
                  </w:r>
                </w:p>
              </w:tc>
              <w:tc>
                <w:tcPr>
                  <w:tcW w:w="1020" w:type="dxa"/>
                  <w:vMerge w:val="continue"/>
                  <w:vAlign w:val="center"/>
                </w:tcPr>
                <w:p>
                  <w:pPr>
                    <w:pStyle w:val="17"/>
                    <w:keepNext w:val="0"/>
                    <w:keepLines w:val="0"/>
                    <w:pageBreakBefore w:val="0"/>
                    <w:widowControl w:val="0"/>
                    <w:kinsoku/>
                    <w:wordWrap/>
                    <w:overflowPunct/>
                    <w:topLinePunct w:val="0"/>
                    <w:autoSpaceDE w:val="0"/>
                    <w:autoSpaceDN w:val="0"/>
                    <w:bidi w:val="0"/>
                    <w:adjustRightInd w:val="0"/>
                    <w:snapToGrid w:val="0"/>
                    <w:textAlignment w:val="baseline"/>
                    <w:rPr>
                      <w:highlight w:val="none"/>
                    </w:rPr>
                  </w:pPr>
                </w:p>
              </w:tc>
            </w:tr>
          </w:tbl>
          <w:p>
            <w:pPr>
              <w:pStyle w:val="17"/>
              <w:rPr>
                <w:highlight w:val="none"/>
              </w:rPr>
            </w:pPr>
          </w:p>
        </w:tc>
      </w:tr>
    </w:tbl>
    <w:p>
      <w:pPr>
        <w:rPr>
          <w:lang w:eastAsia="zh-CN"/>
        </w:rPr>
        <w:sectPr>
          <w:pgSz w:w="16838" w:h="11906" w:orient="landscape"/>
          <w:pgMar w:top="1531" w:right="1701" w:bottom="1531" w:left="1701" w:header="851" w:footer="992" w:gutter="0"/>
          <w:cols w:space="425" w:num="1"/>
          <w:docGrid w:type="lines" w:linePitch="312" w:charSpace="0"/>
        </w:sectPr>
      </w:pPr>
    </w:p>
    <w:tbl>
      <w:tblPr>
        <w:tblStyle w:val="21"/>
        <w:tblW w:w="8988" w:type="dxa"/>
        <w:tblInd w:w="7" w:type="dxa"/>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autofit"/>
        <w:tblCellMar>
          <w:top w:w="0" w:type="dxa"/>
          <w:left w:w="0" w:type="dxa"/>
          <w:bottom w:w="0" w:type="dxa"/>
          <w:right w:w="0" w:type="dxa"/>
        </w:tblCellMar>
      </w:tblPr>
      <w:tblGrid>
        <w:gridCol w:w="654"/>
        <w:gridCol w:w="8334"/>
      </w:tblGrid>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6322" w:hRule="atLeast"/>
        </w:trPr>
        <w:tc>
          <w:tcPr>
            <w:tcW w:w="831" w:type="dxa"/>
            <w:tcBorders>
              <w:right w:val="single" w:color="000000" w:sz="2" w:space="0"/>
            </w:tcBorders>
            <w:vAlign w:val="center"/>
          </w:tcPr>
          <w:p>
            <w:pPr>
              <w:keepNext w:val="0"/>
              <w:keepLines w:val="0"/>
              <w:pageBreakBefore w:val="0"/>
              <w:kinsoku/>
              <w:wordWrap/>
              <w:overflowPunct w:val="0"/>
              <w:topLinePunct w:val="0"/>
              <w:autoSpaceDE w:val="0"/>
              <w:autoSpaceDN w:val="0"/>
              <w:bidi w:val="0"/>
              <w:adjustRightInd w:val="0"/>
              <w:snapToGrid w:val="0"/>
              <w:spacing w:line="240" w:lineRule="auto"/>
              <w:jc w:val="center"/>
              <w:textAlignment w:val="baseline"/>
              <w:rPr>
                <w:rFonts w:hint="eastAsia" w:ascii="宋体" w:hAnsi="宋体"/>
                <w:szCs w:val="20"/>
                <w:highlight w:val="none"/>
              </w:rPr>
            </w:pPr>
            <w:r>
              <w:rPr>
                <w:highlight w:val="none"/>
              </w:rPr>
              <w:t>建设内容</w:t>
            </w:r>
          </w:p>
        </w:tc>
        <w:tc>
          <w:tcPr>
            <w:tcW w:w="8157" w:type="dxa"/>
            <w:tcBorders>
              <w:left w:val="single" w:color="000000" w:sz="2" w:space="0"/>
            </w:tcBorders>
          </w:tcPr>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本次扩建项目依托工程情况如下：</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表 2-4  项目依托工程情况表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4"/>
              <w:gridCol w:w="809"/>
              <w:gridCol w:w="2791"/>
              <w:gridCol w:w="966"/>
              <w:gridCol w:w="3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1048"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工程名称</w:t>
                  </w:r>
                </w:p>
              </w:tc>
              <w:tc>
                <w:tcPr>
                  <w:tcW w:w="3723"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依托情况</w:t>
                  </w:r>
                </w:p>
              </w:tc>
              <w:tc>
                <w:tcPr>
                  <w:tcW w:w="2907"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依托可行性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353"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辅助工程</w:t>
                  </w:r>
                </w:p>
              </w:tc>
              <w:tc>
                <w:tcPr>
                  <w:tcW w:w="695"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办公区</w:t>
                  </w:r>
                </w:p>
              </w:tc>
              <w:tc>
                <w:tcPr>
                  <w:tcW w:w="3723"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r>
                    <w:rPr>
                      <w:highlight w:val="none"/>
                    </w:rPr>
                    <w:t>员工办公等依托原有办公区域。</w:t>
                  </w:r>
                </w:p>
              </w:tc>
              <w:tc>
                <w:tcPr>
                  <w:tcW w:w="2907"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扩建后办公人员不新增，增加</w:t>
                  </w:r>
                  <w:r>
                    <w:rPr>
                      <w:rFonts w:hint="eastAsia"/>
                      <w:highlight w:val="none"/>
                    </w:rPr>
                    <w:t>15</w:t>
                  </w:r>
                  <w:r>
                    <w:rPr>
                      <w:highlight w:val="none"/>
                    </w:rPr>
                    <w:t>人为工作人员。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353" w:type="dxa"/>
                  <w:vMerge w:val="restart"/>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储运工程</w:t>
                  </w:r>
                </w:p>
              </w:tc>
              <w:tc>
                <w:tcPr>
                  <w:tcW w:w="695"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仓库</w:t>
                  </w:r>
                </w:p>
              </w:tc>
              <w:tc>
                <w:tcPr>
                  <w:tcW w:w="3723"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原料仓库和成品仓库均位于联合厂房内，建筑面积3100m</w:t>
                  </w:r>
                  <w:r>
                    <w:rPr>
                      <w:highlight w:val="none"/>
                      <w:vertAlign w:val="superscript"/>
                    </w:rPr>
                    <w:t>2</w:t>
                  </w:r>
                  <w:r>
                    <w:rPr>
                      <w:highlight w:val="none"/>
                    </w:rPr>
                    <w:t>。</w:t>
                  </w:r>
                </w:p>
              </w:tc>
              <w:tc>
                <w:tcPr>
                  <w:tcW w:w="2907"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r>
                    <w:rPr>
                      <w:highlight w:val="none"/>
                    </w:rPr>
                    <w:t>仓库目前占用面积</w:t>
                  </w:r>
                  <w:r>
                    <w:rPr>
                      <w:rFonts w:hint="eastAsia"/>
                      <w:highlight w:val="none"/>
                    </w:rPr>
                    <w:t>约</w:t>
                  </w:r>
                  <w:r>
                    <w:rPr>
                      <w:highlight w:val="none"/>
                    </w:rPr>
                    <w:t>为</w:t>
                  </w:r>
                  <w:r>
                    <w:rPr>
                      <w:rFonts w:hint="eastAsia"/>
                      <w:highlight w:val="none"/>
                    </w:rPr>
                    <w:t>2300</w:t>
                  </w:r>
                  <w:r>
                    <w:rPr>
                      <w:highlight w:val="none"/>
                    </w:rPr>
                    <w:t>m</w:t>
                  </w:r>
                  <w:r>
                    <w:rPr>
                      <w:highlight w:val="none"/>
                      <w:vertAlign w:val="superscript"/>
                    </w:rPr>
                    <w:t>2</w:t>
                  </w:r>
                  <w:r>
                    <w:rPr>
                      <w:highlight w:val="none"/>
                    </w:rPr>
                    <w:t>，剩余</w:t>
                  </w:r>
                  <w:r>
                    <w:rPr>
                      <w:rFonts w:hint="eastAsia"/>
                      <w:highlight w:val="none"/>
                    </w:rPr>
                    <w:t>8</w:t>
                  </w:r>
                  <w:r>
                    <w:rPr>
                      <w:highlight w:val="none"/>
                    </w:rPr>
                    <w:t>00m</w:t>
                  </w:r>
                  <w:r>
                    <w:rPr>
                      <w:highlight w:val="none"/>
                      <w:vertAlign w:val="superscript"/>
                    </w:rPr>
                    <w:t>2</w:t>
                  </w:r>
                  <w:r>
                    <w:rPr>
                      <w:highlight w:val="none"/>
                    </w:rPr>
                    <w:t>空置，可满足扩建项目原料和成品的储存要求。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353" w:type="dxa"/>
                  <w:vMerge w:val="continue"/>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p>
              </w:tc>
              <w:tc>
                <w:tcPr>
                  <w:tcW w:w="695"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化学品库</w:t>
                  </w:r>
                </w:p>
              </w:tc>
              <w:tc>
                <w:tcPr>
                  <w:tcW w:w="3723"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位于联合厂房外西侧，长10m，宽7.5m，高6.7m，建筑面积为75m</w:t>
                  </w:r>
                  <w:r>
                    <w:rPr>
                      <w:highlight w:val="none"/>
                      <w:vertAlign w:val="superscript"/>
                    </w:rPr>
                    <w:t>2</w:t>
                  </w:r>
                  <w:r>
                    <w:rPr>
                      <w:highlight w:val="none"/>
                    </w:rPr>
                    <w:t>，设置收集槽（体积4m</w:t>
                  </w:r>
                  <w:r>
                    <w:rPr>
                      <w:highlight w:val="none"/>
                      <w:vertAlign w:val="superscript"/>
                    </w:rPr>
                    <w:t>3</w:t>
                  </w:r>
                  <w:r>
                    <w:rPr>
                      <w:highlight w:val="none"/>
                    </w:rPr>
                    <w:t>）和集液池（体积为3m</w:t>
                  </w:r>
                  <w:r>
                    <w:rPr>
                      <w:highlight w:val="none"/>
                      <w:vertAlign w:val="superscript"/>
                    </w:rPr>
                    <w:t>3</w:t>
                  </w:r>
                  <w:r>
                    <w:rPr>
                      <w:highlight w:val="none"/>
                    </w:rPr>
                    <w:t>）。主要储存生产使用的测试液、清洗液、荧光剂等。</w:t>
                  </w:r>
                </w:p>
              </w:tc>
              <w:tc>
                <w:tcPr>
                  <w:tcW w:w="2907"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color w:val="auto"/>
                      <w:highlight w:val="none"/>
                    </w:rPr>
                  </w:pPr>
                  <w:r>
                    <w:rPr>
                      <w:color w:val="auto"/>
                      <w:highlight w:val="none"/>
                    </w:rPr>
                    <w:t>现有化学品库最大可暂存20t化学品，目前最大暂存量为</w:t>
                  </w:r>
                  <w:r>
                    <w:rPr>
                      <w:rFonts w:hint="eastAsia"/>
                      <w:color w:val="auto"/>
                      <w:highlight w:val="none"/>
                    </w:rPr>
                    <w:t>6</w:t>
                  </w:r>
                  <w:r>
                    <w:rPr>
                      <w:color w:val="auto"/>
                      <w:highlight w:val="none"/>
                    </w:rPr>
                    <w:t>t，化学品库可满足扩建项目要求。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353" w:type="dxa"/>
                  <w:vMerge w:val="restart"/>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spacing w:val="1"/>
                      <w:sz w:val="20"/>
                      <w:szCs w:val="20"/>
                      <w:highlight w:val="none"/>
                    </w:rPr>
                    <w:t>公用</w:t>
                  </w:r>
                  <w:r>
                    <w:rPr>
                      <w:spacing w:val="3"/>
                      <w:sz w:val="20"/>
                      <w:szCs w:val="20"/>
                      <w:highlight w:val="none"/>
                    </w:rPr>
                    <w:t>工程</w:t>
                  </w:r>
                </w:p>
              </w:tc>
              <w:tc>
                <w:tcPr>
                  <w:tcW w:w="695"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供电工程</w:t>
                  </w:r>
                </w:p>
              </w:tc>
              <w:tc>
                <w:tcPr>
                  <w:tcW w:w="3723"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依托原有供电工程。</w:t>
                  </w:r>
                </w:p>
              </w:tc>
              <w:tc>
                <w:tcPr>
                  <w:tcW w:w="2907"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r>
                    <w:rPr>
                      <w:highlight w:val="none"/>
                    </w:rPr>
                    <w:t>市政供电网络已布设到位，可满足本项目生产供电需求，依托可行。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jc w:val="center"/>
              </w:trPr>
              <w:tc>
                <w:tcPr>
                  <w:tcW w:w="353" w:type="dxa"/>
                  <w:vMerge w:val="continue"/>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p>
              </w:tc>
              <w:tc>
                <w:tcPr>
                  <w:tcW w:w="695"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给水工程</w:t>
                  </w:r>
                </w:p>
              </w:tc>
              <w:tc>
                <w:tcPr>
                  <w:tcW w:w="3723"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依托原有给水工程。</w:t>
                  </w:r>
                </w:p>
              </w:tc>
              <w:tc>
                <w:tcPr>
                  <w:tcW w:w="2907"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r>
                    <w:rPr>
                      <w:highlight w:val="none"/>
                    </w:rPr>
                    <w:t>厂区内给水管网已布设到位，能够满足本项目需要，依托可行。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353" w:type="dxa"/>
                  <w:vMerge w:val="restart"/>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r>
                    <w:rPr>
                      <w:rFonts w:hint="eastAsia"/>
                      <w:highlight w:val="none"/>
                    </w:rPr>
                    <w:t>环保工程</w:t>
                  </w:r>
                </w:p>
              </w:tc>
              <w:tc>
                <w:tcPr>
                  <w:tcW w:w="695"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废水治理</w:t>
                  </w:r>
                </w:p>
              </w:tc>
              <w:tc>
                <w:tcPr>
                  <w:tcW w:w="3723"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r>
                    <w:rPr>
                      <w:highlight w:val="none"/>
                    </w:rPr>
                    <w:t>清洗废水依托厂区现有的污水处理站处理，生活污水和保洁废水依托厂区现有的化粪池进行处理。保洁废水和生活污水依托厂区现有化粪池进行处理。</w:t>
                  </w:r>
                </w:p>
              </w:tc>
              <w:tc>
                <w:tcPr>
                  <w:tcW w:w="2907"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r>
                    <w:rPr>
                      <w:highlight w:val="none"/>
                    </w:rPr>
                    <w:t>现有项目</w:t>
                  </w:r>
                  <w:r>
                    <w:rPr>
                      <w:rFonts w:hint="eastAsia"/>
                      <w:highlight w:val="none"/>
                    </w:rPr>
                    <w:t>废水</w:t>
                  </w:r>
                  <w:r>
                    <w:rPr>
                      <w:highlight w:val="none"/>
                    </w:rPr>
                    <w:t>依托厂区现有化粪池可满足要求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353" w:type="dxa"/>
                  <w:vMerge w:val="continue"/>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p>
              </w:tc>
              <w:tc>
                <w:tcPr>
                  <w:tcW w:w="695"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highlight w:val="none"/>
                    </w:rPr>
                    <w:t>固废治理</w:t>
                  </w:r>
                </w:p>
              </w:tc>
              <w:tc>
                <w:tcPr>
                  <w:tcW w:w="3723"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r>
                    <w:rPr>
                      <w:highlight w:val="none"/>
                    </w:rPr>
                    <w:t>一般固废依托现有一般固废间，危废依托现有危废库</w:t>
                  </w:r>
                </w:p>
              </w:tc>
              <w:tc>
                <w:tcPr>
                  <w:tcW w:w="2907" w:type="dxa"/>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rPr>
                  </w:pPr>
                  <w:r>
                    <w:rPr>
                      <w:color w:val="0000FF"/>
                      <w:highlight w:val="none"/>
                    </w:rPr>
                    <w:t>一</w:t>
                  </w:r>
                  <w:r>
                    <w:rPr>
                      <w:color w:val="auto"/>
                      <w:highlight w:val="none"/>
                    </w:rPr>
                    <w:t>般固废间面积为100m</w:t>
                  </w:r>
                  <w:r>
                    <w:rPr>
                      <w:color w:val="auto"/>
                      <w:highlight w:val="none"/>
                      <w:vertAlign w:val="superscript"/>
                    </w:rPr>
                    <w:t>2</w:t>
                  </w:r>
                  <w:r>
                    <w:rPr>
                      <w:color w:val="auto"/>
                      <w:highlight w:val="none"/>
                    </w:rPr>
                    <w:t>，最大可容纳100t一般工业固废，现有工业固废最大暂存量为</w:t>
                  </w:r>
                  <w:r>
                    <w:rPr>
                      <w:rFonts w:hint="eastAsia"/>
                      <w:color w:val="auto"/>
                      <w:highlight w:val="none"/>
                    </w:rPr>
                    <w:t>55.68</w:t>
                  </w:r>
                  <w:r>
                    <w:rPr>
                      <w:color w:val="auto"/>
                      <w:highlight w:val="none"/>
                    </w:rPr>
                    <w:t>t，</w:t>
                  </w:r>
                  <w:r>
                    <w:rPr>
                      <w:rFonts w:hint="eastAsia"/>
                      <w:color w:val="auto"/>
                      <w:highlight w:val="none"/>
                    </w:rPr>
                    <w:t>剩余暂存量为</w:t>
                  </w:r>
                  <w:r>
                    <w:rPr>
                      <w:rFonts w:hint="eastAsia"/>
                      <w:highlight w:val="none"/>
                    </w:rPr>
                    <w:t>44.32t</w:t>
                  </w:r>
                  <w:r>
                    <w:rPr>
                      <w:rFonts w:hint="eastAsia"/>
                      <w:color w:val="auto"/>
                      <w:highlight w:val="none"/>
                    </w:rPr>
                    <w:t>，</w:t>
                  </w:r>
                  <w:r>
                    <w:rPr>
                      <w:color w:val="auto"/>
                      <w:highlight w:val="none"/>
                    </w:rPr>
                    <w:t>扩建项目一般固废最大量为</w:t>
                  </w:r>
                  <w:r>
                    <w:rPr>
                      <w:rFonts w:hint="eastAsia"/>
                      <w:color w:val="auto"/>
                      <w:highlight w:val="none"/>
                    </w:rPr>
                    <w:t>3.875</w:t>
                  </w:r>
                  <w:r>
                    <w:rPr>
                      <w:color w:val="auto"/>
                      <w:highlight w:val="none"/>
                    </w:rPr>
                    <w:t>t</w:t>
                  </w:r>
                  <w:r>
                    <w:rPr>
                      <w:rFonts w:hint="eastAsia"/>
                      <w:color w:val="auto"/>
                      <w:highlight w:val="none"/>
                    </w:rPr>
                    <w:t>.。</w:t>
                  </w:r>
                  <w:r>
                    <w:rPr>
                      <w:color w:val="auto"/>
                      <w:highlight w:val="none"/>
                    </w:rPr>
                    <w:t>危废库面积为100m</w:t>
                  </w:r>
                  <w:r>
                    <w:rPr>
                      <w:color w:val="auto"/>
                      <w:highlight w:val="none"/>
                      <w:vertAlign w:val="superscript"/>
                    </w:rPr>
                    <w:t>2</w:t>
                  </w:r>
                  <w:r>
                    <w:rPr>
                      <w:color w:val="auto"/>
                      <w:highlight w:val="none"/>
                    </w:rPr>
                    <w:t>，危废暂存间可最大暂存50吨，现有最大暂存量为</w:t>
                  </w:r>
                  <w:r>
                    <w:rPr>
                      <w:rFonts w:hint="eastAsia"/>
                      <w:color w:val="auto"/>
                      <w:highlight w:val="none"/>
                    </w:rPr>
                    <w:t>3</w:t>
                  </w:r>
                  <w:r>
                    <w:rPr>
                      <w:rFonts w:hint="eastAsia"/>
                      <w:color w:val="auto"/>
                      <w:highlight w:val="none"/>
                      <w:lang w:val="en-US" w:eastAsia="zh-CN"/>
                    </w:rPr>
                    <w:t>9.2738</w:t>
                  </w:r>
                  <w:r>
                    <w:rPr>
                      <w:color w:val="auto"/>
                      <w:highlight w:val="none"/>
                    </w:rPr>
                    <w:t>吨，剩余暂存量为</w:t>
                  </w:r>
                  <w:r>
                    <w:rPr>
                      <w:rFonts w:hint="eastAsia"/>
                      <w:color w:val="auto"/>
                      <w:highlight w:val="none"/>
                      <w:lang w:val="en-US" w:eastAsia="zh-CN"/>
                    </w:rPr>
                    <w:t>10.7262</w:t>
                  </w:r>
                  <w:r>
                    <w:rPr>
                      <w:color w:val="auto"/>
                      <w:highlight w:val="none"/>
                    </w:rPr>
                    <w:t>t，扩建项目暂存量为</w:t>
                  </w:r>
                  <w:r>
                    <w:rPr>
                      <w:rFonts w:hint="eastAsia"/>
                      <w:color w:val="auto"/>
                      <w:highlight w:val="none"/>
                    </w:rPr>
                    <w:t>0.</w:t>
                  </w:r>
                  <w:r>
                    <w:rPr>
                      <w:rFonts w:hint="eastAsia"/>
                      <w:color w:val="auto"/>
                      <w:highlight w:val="none"/>
                      <w:lang w:val="en-US" w:eastAsia="zh-CN"/>
                    </w:rPr>
                    <w:t>1</w:t>
                  </w:r>
                  <w:r>
                    <w:rPr>
                      <w:rFonts w:hint="eastAsia"/>
                      <w:color w:val="auto"/>
                      <w:highlight w:val="none"/>
                    </w:rPr>
                    <w:t>598</w:t>
                  </w:r>
                  <w:r>
                    <w:rPr>
                      <w:color w:val="auto"/>
                      <w:highlight w:val="none"/>
                    </w:rPr>
                    <w:t>t，故依托现有一般工业固废和危废库是可行的。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3839" w:type="dxa"/>
                  <w:gridSpan w:val="3"/>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position w:val="-68"/>
                      <w:highlight w:val="none"/>
                    </w:rPr>
                    <w:drawing>
                      <wp:inline distT="0" distB="0" distL="0" distR="0">
                        <wp:extent cx="2451735" cy="2185035"/>
                        <wp:effectExtent l="0" t="0" r="5715" b="5715"/>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8"/>
                                <a:stretch>
                                  <a:fillRect/>
                                </a:stretch>
                              </pic:blipFill>
                              <pic:spPr>
                                <a:xfrm>
                                  <a:off x="0" y="0"/>
                                  <a:ext cx="2451989" cy="2185416"/>
                                </a:xfrm>
                                <a:prstGeom prst="rect">
                                  <a:avLst/>
                                </a:prstGeom>
                              </pic:spPr>
                            </pic:pic>
                          </a:graphicData>
                        </a:graphic>
                      </wp:inline>
                    </w:drawing>
                  </w:r>
                </w:p>
              </w:tc>
              <w:tc>
                <w:tcPr>
                  <w:tcW w:w="3839"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position w:val="-71"/>
                      <w:highlight w:val="none"/>
                    </w:rPr>
                    <w:drawing>
                      <wp:inline distT="0" distB="0" distL="0" distR="0">
                        <wp:extent cx="1711325" cy="2273935"/>
                        <wp:effectExtent l="0" t="0" r="3175" b="12065"/>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9"/>
                                <a:stretch>
                                  <a:fillRect/>
                                </a:stretch>
                              </pic:blipFill>
                              <pic:spPr>
                                <a:xfrm>
                                  <a:off x="0" y="0"/>
                                  <a:ext cx="1711452" cy="2274189"/>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3839" w:type="dxa"/>
                  <w:gridSpan w:val="3"/>
                </w:tcPr>
                <w:p>
                  <w:pPr>
                    <w:pStyle w:val="20"/>
                    <w:keepNext w:val="0"/>
                    <w:keepLines w:val="0"/>
                    <w:pageBreakBefore w:val="0"/>
                    <w:widowControl w:val="0"/>
                    <w:kinsoku/>
                    <w:wordWrap/>
                    <w:overflowPunct w:val="0"/>
                    <w:topLinePunct w:val="0"/>
                    <w:autoSpaceDE w:val="0"/>
                    <w:autoSpaceDN w:val="0"/>
                    <w:bidi w:val="0"/>
                    <w:adjustRightInd w:val="0"/>
                    <w:snapToGrid w:val="0"/>
                    <w:spacing w:before="43" w:line="206" w:lineRule="auto"/>
                    <w:ind w:left="908"/>
                    <w:jc w:val="both"/>
                    <w:textAlignment w:val="baseline"/>
                    <w:rPr>
                      <w:rFonts w:hint="eastAsia"/>
                      <w:highlight w:val="none"/>
                    </w:rPr>
                  </w:pPr>
                  <w:r>
                    <w:rPr>
                      <w:b/>
                      <w:bCs/>
                      <w:spacing w:val="-3"/>
                      <w:highlight w:val="none"/>
                    </w:rPr>
                    <w:t>化学品库（导流沟）</w:t>
                  </w:r>
                </w:p>
              </w:tc>
              <w:tc>
                <w:tcPr>
                  <w:tcW w:w="3839" w:type="dxa"/>
                  <w:gridSpan w:val="2"/>
                </w:tcPr>
                <w:p>
                  <w:pPr>
                    <w:pStyle w:val="20"/>
                    <w:keepNext w:val="0"/>
                    <w:keepLines w:val="0"/>
                    <w:pageBreakBefore w:val="0"/>
                    <w:widowControl w:val="0"/>
                    <w:kinsoku/>
                    <w:wordWrap/>
                    <w:overflowPunct w:val="0"/>
                    <w:topLinePunct w:val="0"/>
                    <w:autoSpaceDE w:val="0"/>
                    <w:autoSpaceDN w:val="0"/>
                    <w:bidi w:val="0"/>
                    <w:adjustRightInd w:val="0"/>
                    <w:snapToGrid w:val="0"/>
                    <w:spacing w:before="43" w:line="206" w:lineRule="auto"/>
                    <w:ind w:left="910"/>
                    <w:jc w:val="both"/>
                    <w:textAlignment w:val="baseline"/>
                    <w:rPr>
                      <w:rFonts w:hint="eastAsia"/>
                      <w:highlight w:val="none"/>
                    </w:rPr>
                  </w:pPr>
                  <w:r>
                    <w:rPr>
                      <w:b/>
                      <w:bCs/>
                      <w:spacing w:val="-3"/>
                      <w:highlight w:val="none"/>
                    </w:rPr>
                    <w:t>化学品库（收集池）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3839" w:type="dxa"/>
                  <w:gridSpan w:val="3"/>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position w:val="-69"/>
                      <w:highlight w:val="none"/>
                    </w:rPr>
                    <w:drawing>
                      <wp:inline distT="0" distB="0" distL="0" distR="0">
                        <wp:extent cx="2129790" cy="2339975"/>
                        <wp:effectExtent l="0" t="0" r="3810" b="3175"/>
                        <wp:docPr id="16" name="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 16"/>
                                <pic:cNvPicPr>
                                  <a:picLocks noChangeAspect="1"/>
                                </pic:cNvPicPr>
                              </pic:nvPicPr>
                              <pic:blipFill>
                                <a:blip r:embed="rId10"/>
                                <a:stretch>
                                  <a:fillRect/>
                                </a:stretch>
                              </pic:blipFill>
                              <pic:spPr>
                                <a:xfrm>
                                  <a:off x="0" y="0"/>
                                  <a:ext cx="2129790" cy="2339975"/>
                                </a:xfrm>
                                <a:prstGeom prst="rect">
                                  <a:avLst/>
                                </a:prstGeom>
                              </pic:spPr>
                            </pic:pic>
                          </a:graphicData>
                        </a:graphic>
                      </wp:inline>
                    </w:drawing>
                  </w:r>
                </w:p>
              </w:tc>
              <w:tc>
                <w:tcPr>
                  <w:tcW w:w="3839"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position w:val="-58"/>
                      <w:highlight w:val="none"/>
                    </w:rPr>
                    <w:drawing>
                      <wp:inline distT="0" distB="0" distL="0" distR="0">
                        <wp:extent cx="2454910" cy="1845310"/>
                        <wp:effectExtent l="0" t="0" r="2540" b="254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1"/>
                                <a:stretch>
                                  <a:fillRect/>
                                </a:stretch>
                              </pic:blipFill>
                              <pic:spPr>
                                <a:xfrm>
                                  <a:off x="0" y="0"/>
                                  <a:ext cx="2455036" cy="184556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3839" w:type="dxa"/>
                  <w:gridSpan w:val="3"/>
                </w:tcPr>
                <w:p>
                  <w:pPr>
                    <w:pStyle w:val="20"/>
                    <w:keepNext w:val="0"/>
                    <w:keepLines w:val="0"/>
                    <w:pageBreakBefore w:val="0"/>
                    <w:widowControl w:val="0"/>
                    <w:kinsoku/>
                    <w:wordWrap/>
                    <w:overflowPunct w:val="0"/>
                    <w:topLinePunct w:val="0"/>
                    <w:autoSpaceDE w:val="0"/>
                    <w:autoSpaceDN w:val="0"/>
                    <w:bidi w:val="0"/>
                    <w:adjustRightInd w:val="0"/>
                    <w:snapToGrid w:val="0"/>
                    <w:spacing w:before="36" w:line="207" w:lineRule="auto"/>
                    <w:ind w:left="660"/>
                    <w:jc w:val="both"/>
                    <w:textAlignment w:val="baseline"/>
                    <w:rPr>
                      <w:rFonts w:hint="eastAsia"/>
                      <w:highlight w:val="none"/>
                      <w:lang w:eastAsia="zh-CN"/>
                    </w:rPr>
                  </w:pPr>
                  <w:r>
                    <w:rPr>
                      <w:b/>
                      <w:bCs/>
                      <w:spacing w:val="-3"/>
                      <w:highlight w:val="none"/>
                      <w:lang w:eastAsia="zh-CN"/>
                    </w:rPr>
                    <w:t>危废间（导流沟、收集池）</w:t>
                  </w:r>
                </w:p>
              </w:tc>
              <w:tc>
                <w:tcPr>
                  <w:tcW w:w="3839" w:type="dxa"/>
                  <w:gridSpan w:val="2"/>
                </w:tcPr>
                <w:p>
                  <w:pPr>
                    <w:pStyle w:val="20"/>
                    <w:keepNext w:val="0"/>
                    <w:keepLines w:val="0"/>
                    <w:pageBreakBefore w:val="0"/>
                    <w:widowControl w:val="0"/>
                    <w:kinsoku/>
                    <w:wordWrap/>
                    <w:overflowPunct w:val="0"/>
                    <w:topLinePunct w:val="0"/>
                    <w:autoSpaceDE w:val="0"/>
                    <w:autoSpaceDN w:val="0"/>
                    <w:bidi w:val="0"/>
                    <w:adjustRightInd w:val="0"/>
                    <w:snapToGrid w:val="0"/>
                    <w:spacing w:before="36" w:line="207" w:lineRule="auto"/>
                    <w:ind w:left="1394"/>
                    <w:jc w:val="both"/>
                    <w:textAlignment w:val="baseline"/>
                    <w:rPr>
                      <w:rFonts w:hint="eastAsia"/>
                      <w:highlight w:val="none"/>
                    </w:rPr>
                  </w:pPr>
                  <w:r>
                    <w:rPr>
                      <w:b/>
                      <w:bCs/>
                      <w:spacing w:val="-5"/>
                      <w:highlight w:val="none"/>
                    </w:rPr>
                    <w:t>危废间托盘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3839" w:type="dxa"/>
                  <w:gridSpan w:val="3"/>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position w:val="-79"/>
                      <w:highlight w:val="none"/>
                    </w:rPr>
                    <w:drawing>
                      <wp:inline distT="0" distB="0" distL="0" distR="0">
                        <wp:extent cx="1750695" cy="2526030"/>
                        <wp:effectExtent l="0" t="0" r="1905" b="762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12"/>
                                <a:stretch>
                                  <a:fillRect/>
                                </a:stretch>
                              </pic:blipFill>
                              <pic:spPr>
                                <a:xfrm>
                                  <a:off x="0" y="0"/>
                                  <a:ext cx="1751076" cy="2526283"/>
                                </a:xfrm>
                                <a:prstGeom prst="rect">
                                  <a:avLst/>
                                </a:prstGeom>
                              </pic:spPr>
                            </pic:pic>
                          </a:graphicData>
                        </a:graphic>
                      </wp:inline>
                    </w:drawing>
                  </w:r>
                </w:p>
              </w:tc>
              <w:tc>
                <w:tcPr>
                  <w:tcW w:w="3839" w:type="dxa"/>
                  <w:gridSpan w:val="2"/>
                  <w:vAlign w:val="center"/>
                </w:tcPr>
                <w:p>
                  <w:pPr>
                    <w:pStyle w:val="17"/>
                    <w:keepNext w:val="0"/>
                    <w:keepLines w:val="0"/>
                    <w:pageBreakBefore w:val="0"/>
                    <w:widowControl w:val="0"/>
                    <w:kinsoku/>
                    <w:wordWrap/>
                    <w:overflowPunct w:val="0"/>
                    <w:topLinePunct w:val="0"/>
                    <w:autoSpaceDE w:val="0"/>
                    <w:autoSpaceDN w:val="0"/>
                    <w:bidi w:val="0"/>
                    <w:adjustRightInd w:val="0"/>
                    <w:snapToGrid w:val="0"/>
                    <w:textAlignment w:val="baseline"/>
                    <w:rPr>
                      <w:highlight w:val="none"/>
                      <w:lang w:eastAsia="en-US"/>
                    </w:rPr>
                  </w:pPr>
                  <w:r>
                    <w:rPr>
                      <w:position w:val="-56"/>
                      <w:highlight w:val="none"/>
                    </w:rPr>
                    <w:drawing>
                      <wp:inline distT="0" distB="0" distL="0" distR="0">
                        <wp:extent cx="2381885" cy="1785620"/>
                        <wp:effectExtent l="0" t="0" r="18415" b="508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3"/>
                                <a:stretch>
                                  <a:fillRect/>
                                </a:stretch>
                              </pic:blipFill>
                              <pic:spPr>
                                <a:xfrm>
                                  <a:off x="0" y="0"/>
                                  <a:ext cx="2382012" cy="178612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jc w:val="center"/>
              </w:trPr>
              <w:tc>
                <w:tcPr>
                  <w:tcW w:w="3839" w:type="dxa"/>
                  <w:gridSpan w:val="3"/>
                </w:tcPr>
                <w:p>
                  <w:pPr>
                    <w:pStyle w:val="20"/>
                    <w:keepNext w:val="0"/>
                    <w:keepLines w:val="0"/>
                    <w:pageBreakBefore w:val="0"/>
                    <w:widowControl w:val="0"/>
                    <w:kinsoku/>
                    <w:wordWrap/>
                    <w:overflowPunct w:val="0"/>
                    <w:topLinePunct w:val="0"/>
                    <w:autoSpaceDE w:val="0"/>
                    <w:autoSpaceDN w:val="0"/>
                    <w:bidi w:val="0"/>
                    <w:adjustRightInd w:val="0"/>
                    <w:snapToGrid w:val="0"/>
                    <w:spacing w:before="39" w:line="206" w:lineRule="auto"/>
                    <w:ind w:left="1504"/>
                    <w:jc w:val="both"/>
                    <w:textAlignment w:val="baseline"/>
                    <w:rPr>
                      <w:rFonts w:hint="eastAsia"/>
                      <w:highlight w:val="none"/>
                      <w:lang w:eastAsia="zh-CN"/>
                    </w:rPr>
                  </w:pPr>
                  <w:r>
                    <w:rPr>
                      <w:b/>
                      <w:bCs/>
                      <w:spacing w:val="-5"/>
                      <w:highlight w:val="none"/>
                      <w:lang w:eastAsia="zh-CN"/>
                    </w:rPr>
                    <w:t>一般固废间</w:t>
                  </w:r>
                </w:p>
              </w:tc>
              <w:tc>
                <w:tcPr>
                  <w:tcW w:w="3839" w:type="dxa"/>
                  <w:gridSpan w:val="2"/>
                </w:tcPr>
                <w:p>
                  <w:pPr>
                    <w:pStyle w:val="20"/>
                    <w:keepNext w:val="0"/>
                    <w:keepLines w:val="0"/>
                    <w:pageBreakBefore w:val="0"/>
                    <w:widowControl w:val="0"/>
                    <w:kinsoku/>
                    <w:wordWrap/>
                    <w:overflowPunct w:val="0"/>
                    <w:topLinePunct w:val="0"/>
                    <w:autoSpaceDE w:val="0"/>
                    <w:autoSpaceDN w:val="0"/>
                    <w:bidi w:val="0"/>
                    <w:adjustRightInd w:val="0"/>
                    <w:snapToGrid w:val="0"/>
                    <w:spacing w:before="39" w:line="206" w:lineRule="auto"/>
                    <w:ind w:left="1393"/>
                    <w:jc w:val="both"/>
                    <w:textAlignment w:val="baseline"/>
                    <w:rPr>
                      <w:rFonts w:hint="eastAsia"/>
                      <w:highlight w:val="none"/>
                      <w:lang w:eastAsia="zh-CN"/>
                    </w:rPr>
                  </w:pPr>
                  <w:r>
                    <w:rPr>
                      <w:b/>
                      <w:bCs/>
                      <w:spacing w:val="-4"/>
                      <w:highlight w:val="none"/>
                      <w:lang w:eastAsia="zh-CN"/>
                    </w:rPr>
                    <w:t>污水处理站</w:t>
                  </w:r>
                </w:p>
              </w:tc>
            </w:tr>
          </w:tbl>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rFonts w:hint="eastAsia"/>
                <w:b/>
                <w:bCs/>
                <w:highlight w:val="none"/>
                <w:lang w:eastAsia="zh-CN"/>
              </w:rPr>
              <w:t>2、产品方案</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根据建设单位提供的资料，项目产品方案及生产规模见下表：</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rFonts w:hint="eastAsia"/>
                <w:highlight w:val="none"/>
                <w:lang w:eastAsia="zh-CN"/>
              </w:rPr>
              <w:t>表 2-5  项目产品方案及生产规模</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0"/>
              <w:gridCol w:w="1078"/>
              <w:gridCol w:w="1292"/>
              <w:gridCol w:w="1580"/>
              <w:gridCol w:w="1580"/>
              <w:gridCol w:w="15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868"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产品名称</w:t>
                  </w:r>
                </w:p>
              </w:tc>
              <w:tc>
                <w:tcPr>
                  <w:tcW w:w="12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现有项目年产量</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扩建工程年产量</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扩建后项目年产量</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868"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高压油泵</w:t>
                  </w:r>
                </w:p>
              </w:tc>
              <w:tc>
                <w:tcPr>
                  <w:tcW w:w="12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val="en-US" w:eastAsia="zh-CN"/>
                    </w:rPr>
                    <w:t>10</w:t>
                  </w:r>
                  <w:r>
                    <w:rPr>
                      <w:highlight w:val="none"/>
                    </w:rPr>
                    <w:t>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val="en-US" w:eastAsia="zh-CN"/>
                    </w:rPr>
                    <w:t>10</w:t>
                  </w:r>
                  <w:r>
                    <w:rPr>
                      <w:highlight w:val="none"/>
                    </w:rPr>
                    <w:t>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868"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低压喷嘴</w:t>
                  </w:r>
                </w:p>
              </w:tc>
              <w:tc>
                <w:tcPr>
                  <w:tcW w:w="12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250万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250万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79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节气门总成</w:t>
                  </w:r>
                </w:p>
              </w:tc>
              <w:tc>
                <w:tcPr>
                  <w:tcW w:w="10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汽车电子节气门总成</w:t>
                  </w:r>
                </w:p>
              </w:tc>
              <w:tc>
                <w:tcPr>
                  <w:tcW w:w="12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300万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300万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79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0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摩托车节气门总成</w:t>
                  </w:r>
                </w:p>
              </w:tc>
              <w:tc>
                <w:tcPr>
                  <w:tcW w:w="12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50万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50万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1868"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油轨总成</w:t>
                  </w:r>
                </w:p>
              </w:tc>
              <w:tc>
                <w:tcPr>
                  <w:tcW w:w="12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1868"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机械式自动变</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速器执行器</w:t>
                  </w:r>
                </w:p>
              </w:tc>
              <w:tc>
                <w:tcPr>
                  <w:tcW w:w="12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36000</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36000</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1868"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驻车执行器</w:t>
                  </w:r>
                </w:p>
              </w:tc>
              <w:tc>
                <w:tcPr>
                  <w:tcW w:w="12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58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套</w:t>
                  </w:r>
                </w:p>
              </w:tc>
            </w:tr>
          </w:tbl>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rFonts w:hint="eastAsia"/>
                <w:b/>
                <w:bCs/>
                <w:highlight w:val="none"/>
                <w:lang w:eastAsia="zh-CN"/>
              </w:rPr>
              <w:t>3、项目主要试验设备</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项目主要设备情况如下：</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表 2-6  扩建前后厂区主要设备一览表</w:t>
            </w:r>
          </w:p>
          <w:tbl>
            <w:tblPr>
              <w:tblStyle w:val="14"/>
              <w:tblW w:w="79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1298"/>
              <w:gridCol w:w="1792"/>
              <w:gridCol w:w="608"/>
              <w:gridCol w:w="584"/>
              <w:gridCol w:w="737"/>
              <w:gridCol w:w="584"/>
              <w:gridCol w:w="765"/>
              <w:gridCol w:w="886"/>
            </w:tblGrid>
            <w:tr>
              <w:tblPrEx>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项目</w:t>
                  </w:r>
                </w:p>
              </w:tc>
              <w:tc>
                <w:tcPr>
                  <w:tcW w:w="1298"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设备名称</w:t>
                  </w:r>
                </w:p>
              </w:tc>
              <w:tc>
                <w:tcPr>
                  <w:tcW w:w="179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型号</w:t>
                  </w:r>
                </w:p>
              </w:tc>
              <w:tc>
                <w:tcPr>
                  <w:tcW w:w="1929" w:type="dxa"/>
                  <w:gridSpan w:val="3"/>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数量</w:t>
                  </w:r>
                </w:p>
              </w:tc>
              <w:tc>
                <w:tcPr>
                  <w:tcW w:w="58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单位</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设备位置</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对应工艺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6"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9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现有工程</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扩建工程</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扩建后全厂</w:t>
                  </w:r>
                </w:p>
              </w:tc>
              <w:tc>
                <w:tcPr>
                  <w:tcW w:w="58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注塑</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注塑机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HT200T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注塑车间</w:t>
                  </w: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注塑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油轨总成线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GB</w:t>
                  </w:r>
                  <w:r>
                    <w:rPr>
                      <w:rFonts w:hint="eastAsia"/>
                      <w:highlight w:val="none"/>
                    </w:rPr>
                    <w:t xml:space="preserve"> </w:t>
                  </w:r>
                  <w:r>
                    <w:rPr>
                      <w:highlight w:val="none"/>
                    </w:rPr>
                    <w:t>ASSEMBLE</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ind w:firstLine="0" w:firstLineChars="0"/>
                    <w:textAlignment w:val="baseline"/>
                    <w:rPr>
                      <w:rFonts w:ascii="Times New Roman" w:hAnsi="Times New Roman" w:eastAsia="宋体" w:cs="Times New Roman"/>
                      <w:snapToGrid w:val="0"/>
                      <w:color w:val="000000"/>
                      <w:kern w:val="2"/>
                      <w:sz w:val="21"/>
                      <w:szCs w:val="24"/>
                      <w:highlight w:val="none"/>
                      <w:lang w:val="en-US" w:eastAsia="en-US" w:bidi="ar-SA"/>
                    </w:rPr>
                  </w:pPr>
                  <w:r>
                    <w:rPr>
                      <w:highlight w:val="none"/>
                    </w:rPr>
                    <w:t>装配车间</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ind w:firstLine="0" w:firstLineChars="0"/>
                    <w:textAlignment w:val="baseline"/>
                    <w:rPr>
                      <w:rFonts w:ascii="Times New Roman" w:hAnsi="Times New Roman" w:eastAsia="宋体" w:cs="Times New Roman"/>
                      <w:snapToGrid w:val="0"/>
                      <w:color w:val="000000"/>
                      <w:kern w:val="2"/>
                      <w:sz w:val="21"/>
                      <w:szCs w:val="24"/>
                      <w:highlight w:val="none"/>
                      <w:lang w:val="en-US" w:eastAsia="en-US" w:bidi="ar-SA"/>
                    </w:rPr>
                  </w:pPr>
                  <w:r>
                    <w:rPr>
                      <w:highlight w:val="none"/>
                    </w:rPr>
                    <w:t>装配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高压油轨总成线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GDI FRA</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喷油</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嘴生产</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卧式机加设备</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HELLER2</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000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机加工车间</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机加工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镗床</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ALE-052</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立式机加</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Kondia</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CTG</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港星</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节气门阀体</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电子节气门装配线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ETB</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5</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5</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节气门装配车间</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节气门阀组装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电子节气门装配线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EB2DT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机械节气门线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SX MTB</w:t>
                  </w:r>
                  <w:r>
                    <w:rPr>
                      <w:rFonts w:hint="eastAsia"/>
                      <w:highlight w:val="none"/>
                    </w:rPr>
                    <w:t xml:space="preserve"> </w:t>
                  </w:r>
                  <w:r>
                    <w:rPr>
                      <w:highlight w:val="none"/>
                    </w:rPr>
                    <w:t>LINE</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节气门线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MIU</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节气门线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ASEAN</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低压喷嘴生产</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研磨机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ELC-600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低压喷嘴生产</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低压喷嘴生产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消磁机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Tecnofirma</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达尔梦迪</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LANCO</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标定线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SONPLAS</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测量测试台</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LOCCION</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I</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TPS线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OSAI</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PRP油泵线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PBP-PUMP-1</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高压油泵</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生产</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流量分析台</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高压油泵生产区</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激光源</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装配线</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条</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研磨机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研磨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真空设备</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VG</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分装</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线</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封堵/Plug-in</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OP20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装配车间</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VG分</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总成装</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挂挡轴装配+装配至VG</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OP30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装配选速活塞+销+堵头</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OP40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装配电磁阀</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OP50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装配传感器</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OP55</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装配TCU</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OP60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VG装配线服务器（上位机）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测试阀体</w:t>
                  </w:r>
                  <w:r>
                    <w:rPr>
                      <w:rFonts w:hint="eastAsia"/>
                      <w:highlight w:val="none"/>
                    </w:rPr>
                    <w:t>（</w:t>
                  </w:r>
                  <w:r>
                    <w:rPr>
                      <w:highlight w:val="none"/>
                    </w:rPr>
                    <w:t>EOL测试站</w:t>
                  </w:r>
                  <w:r>
                    <w:rPr>
                      <w:rFonts w:hint="eastAsia"/>
                      <w:highlight w:val="none"/>
                    </w:rPr>
                    <w:t>）</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OP78</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VG</w:t>
                  </w:r>
                  <w:r>
                    <w:rPr>
                      <w:rFonts w:hint="eastAsia"/>
                      <w:highlight w:val="none"/>
                    </w:rPr>
                    <w:t xml:space="preserve"> </w:t>
                  </w:r>
                  <w:r>
                    <w:rPr>
                      <w:highlight w:val="none"/>
                    </w:rPr>
                    <w:t>分总成测试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PU分装线</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封堵/Plug-in（仅Foton）</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OP05</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装配车间</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PU</w:t>
                  </w:r>
                  <w:r>
                    <w:rPr>
                      <w:rFonts w:hint="eastAsia"/>
                      <w:highlight w:val="none"/>
                    </w:rPr>
                    <w:t xml:space="preserve"> </w:t>
                  </w:r>
                  <w:r>
                    <w:rPr>
                      <w:highlight w:val="none"/>
                    </w:rPr>
                    <w:t>分总成装配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分装出油管</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OP10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装配出油管&amp;低压管接头</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OP20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装配溢流阀</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OP30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装配泵和电机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OP40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装配蓄能器</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OP45</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装配电磁阀&amp;电机装配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OP46</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装配油壶</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OP50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装配线服务器</w:t>
                  </w:r>
                  <w:r>
                    <w:rPr>
                      <w:rFonts w:hint="eastAsia"/>
                      <w:highlight w:val="none"/>
                    </w:rPr>
                    <w:t>(</w:t>
                  </w:r>
                  <w:r>
                    <w:rPr>
                      <w:highlight w:val="none"/>
                    </w:rPr>
                    <w:t>上位机</w:t>
                  </w:r>
                  <w:r>
                    <w:rPr>
                      <w:rFonts w:hint="eastAsia"/>
                      <w:highlight w:val="none"/>
                    </w:rPr>
                    <w:t>)</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PU</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分总成测试</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OP60</w:t>
                  </w:r>
                  <w:r>
                    <w:rPr>
                      <w:rFonts w:hint="eastAsia"/>
                      <w:highlight w:val="none"/>
                    </w:rPr>
                    <w:t xml:space="preserve"> </w:t>
                  </w:r>
                  <w:r>
                    <w:rPr>
                      <w:highlight w:val="none"/>
                    </w:rPr>
                    <w:t>Power Unit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PU</w:t>
                  </w:r>
                  <w:r>
                    <w:rPr>
                      <w:rFonts w:hint="eastAsia"/>
                      <w:highlight w:val="none"/>
                    </w:rPr>
                    <w:t xml:space="preserve"> </w:t>
                  </w:r>
                  <w:r>
                    <w:rPr>
                      <w:highlight w:val="none"/>
                    </w:rPr>
                    <w:t>分总成测试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4代KIT装配线</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装配油管至VB</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OP10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装配车间</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KIT</w:t>
                  </w:r>
                  <w:r>
                    <w:rPr>
                      <w:rFonts w:hint="eastAsia"/>
                      <w:highlight w:val="none"/>
                    </w:rPr>
                    <w:t xml:space="preserve"> </w:t>
                  </w:r>
                  <w:r>
                    <w:rPr>
                      <w:highlight w:val="none"/>
                    </w:rPr>
                    <w:t>总成装配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装配支架至VB</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OP20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连接油管至CB和PU</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OP30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装配支架和线束</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OP40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EOL</w:t>
                  </w:r>
                  <w:r>
                    <w:rPr>
                      <w:rFonts w:hint="eastAsia"/>
                      <w:highlight w:val="none"/>
                    </w:rPr>
                    <w:t xml:space="preserve"> </w:t>
                  </w:r>
                  <w:r>
                    <w:rPr>
                      <w:highlight w:val="none"/>
                    </w:rPr>
                    <w:t>总成最终检测</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OP50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KIT</w:t>
                  </w:r>
                  <w:r>
                    <w:rPr>
                      <w:rFonts w:hint="eastAsia"/>
                      <w:highlight w:val="none"/>
                    </w:rPr>
                    <w:t xml:space="preserve"> </w:t>
                  </w:r>
                  <w:r>
                    <w:rPr>
                      <w:highlight w:val="none"/>
                    </w:rPr>
                    <w:t>总成功能测试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Run in</w:t>
                  </w:r>
                  <w:r>
                    <w:rPr>
                      <w:rFonts w:hint="eastAsia"/>
                      <w:highlight w:val="none"/>
                    </w:rPr>
                    <w:t xml:space="preserve"> </w:t>
                  </w:r>
                  <w:r>
                    <w:rPr>
                      <w:highlight w:val="none"/>
                    </w:rPr>
                    <w:t>跑合</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OP60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检查UV</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OP70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线终检查</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OP80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4代KIT</w:t>
                  </w:r>
                  <w:r>
                    <w:rPr>
                      <w:rFonts w:hint="eastAsia"/>
                      <w:highlight w:val="none"/>
                    </w:rPr>
                    <w:t xml:space="preserve"> </w:t>
                  </w:r>
                  <w:r>
                    <w:rPr>
                      <w:highlight w:val="none"/>
                    </w:rPr>
                    <w:t>装配线服务器（上位机）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KIT总成装配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5代KIT装配线</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堵头和衬套压装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OP10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装配车间</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KIT 总成装配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选挡轴组件装配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OP15</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选挂挡轴及单向阀装配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OP20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电磁阀滤网预装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OP25</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挂挡轴及电磁阀（QPV）组件装配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OP30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油泵、蓄能器及电磁阀（PPV）组件装配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OP40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选挡轴、传感器组件装配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OP50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离合器组件预装配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OP60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电机盖、呼吸阀及高压管装配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OP70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离合器行程和气密测试及线束装配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OP80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5代KIT 功能测试</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OP90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KIT 总成功能测试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5代KIT 激光打标</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OP100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粘贴标签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 安装防尘罩和线终检查</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OP110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线终检查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5代KIT 下线和包装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OP120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包装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5代KIT装配线服务器（上位机）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KIT 总成装配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充磁机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装配车间</w:t>
                  </w: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外采零件清洗</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高压清洗机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机加工车间</w:t>
                  </w: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高压清洗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电化学去毛刺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ECM</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电化学去毛刺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超声波清洗</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DBM2</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清洗区</w:t>
                  </w: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爱阔特清洗机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装配车间外</w:t>
                  </w:r>
                </w:p>
              </w:tc>
              <w:tc>
                <w:tcPr>
                  <w:tcW w:w="8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检测设备</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三坐标检测设备</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实验室</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线终检查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OGP 影像仪</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徕卡清洁度检测仪</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三丰粗糙度仪</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（高低温环境试验箱Thermal</w:t>
                  </w:r>
                  <w:r>
                    <w:rPr>
                      <w:rFonts w:hint="eastAsia"/>
                      <w:highlight w:val="none"/>
                    </w:rPr>
                    <w:t xml:space="preserve"> </w:t>
                  </w:r>
                  <w:r>
                    <w:rPr>
                      <w:highlight w:val="none"/>
                    </w:rPr>
                    <w:t>chamber，水冷）</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EXT1000U-SP</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（高低温环境试验箱，风冷）</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ATEC_T.C600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（高低温环境试验箱，水冷）</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EXT1000L</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（高低温环境试验箱，水冷）</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ATEC_T.C1600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（高低温冲击试验箱，水冷）</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ACSCST320-2T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（高低温快速环境试验箱，水冷）</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SET-Z-200US-V</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（振动试验设备）</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ES-120-55</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动力车间</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真空泵</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SV300B</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辅房（动力车间）</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空压机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MM132</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冷干机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IR230RCW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干燥机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GLMD-30</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氮气供应系统</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4</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4</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供水制备系统</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4</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4</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冷冻水机</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冷却塔</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变压器</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冷却机组</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配电柜</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27</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27</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开关柜</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驻车执行器装配</w:t>
                  </w:r>
                  <w:r>
                    <w:rPr>
                      <w:highlight w:val="none"/>
                    </w:rPr>
                    <w:t>线</w:t>
                  </w: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激光打码+衬套安装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OP05，秀卓，3KW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AMT装配车间</w:t>
                  </w:r>
                </w:p>
              </w:tc>
              <w:tc>
                <w:tcPr>
                  <w:tcW w:w="88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驻车执行器装配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上料</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OP10，秀卓，0.4KW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电机安装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OP20，秀卓，1.5KW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电机卡夹安装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OP30，秀卓，1.5KW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电机测试</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OP40，秀卓，0.75KW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轴承组件安装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OP50，秀卓，3.5KW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齿轮和齿轮弹片安装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OP60，秀卓，1KW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密封圈和注塑轴安装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OP70，秀卓，4KW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套管安装和超声焊接</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OP80，秀卓，8KW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天线安装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OP90，秀卓，3.5KW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PCB板预装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OP95，秀卓，7KW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上盖和腔体安装焊接</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OP100，秀卓，2.5KW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封盖安装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OP110，秀卓，3.5KW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泄漏测试</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OP120，秀卓，2.5KW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性能测试</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OP130，秀卓，1KW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激光打码</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OP140，秀卓，1KW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密封圈装配</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OP150，秀卓，3.5KW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相机外观检查+打包</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OP160，秀卓，6KW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70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29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产线追溯</w:t>
                  </w:r>
                </w:p>
              </w:tc>
              <w:tc>
                <w:tcPr>
                  <w:tcW w:w="179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秀卓，3KW</w:t>
                  </w:r>
                </w:p>
              </w:tc>
              <w:tc>
                <w:tcPr>
                  <w:tcW w:w="6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73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5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台</w:t>
                  </w:r>
                </w:p>
              </w:tc>
              <w:tc>
                <w:tcPr>
                  <w:tcW w:w="7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8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bl>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b/>
                <w:bCs/>
                <w:highlight w:val="none"/>
                <w:lang w:eastAsia="zh-CN"/>
              </w:rPr>
              <w:t>5、项目主要原辅材料及能源消耗</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 xml:space="preserve">表 2-6  </w:t>
            </w:r>
            <w:r>
              <w:rPr>
                <w:rFonts w:hint="eastAsia"/>
                <w:highlight w:val="none"/>
                <w:lang w:eastAsia="zh-CN"/>
              </w:rPr>
              <w:t>扩建前后厂区主要原辅材料一览表</w:t>
            </w:r>
          </w:p>
          <w:tbl>
            <w:tblPr>
              <w:tblStyle w:val="14"/>
              <w:tblW w:w="75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4"/>
              <w:gridCol w:w="1647"/>
              <w:gridCol w:w="766"/>
              <w:gridCol w:w="907"/>
              <w:gridCol w:w="907"/>
              <w:gridCol w:w="907"/>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jc w:val="center"/>
              </w:trPr>
              <w:tc>
                <w:tcPr>
                  <w:tcW w:w="127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产品名称</w:t>
                  </w:r>
                </w:p>
              </w:tc>
              <w:tc>
                <w:tcPr>
                  <w:tcW w:w="1647"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原辅材料名称</w:t>
                  </w:r>
                </w:p>
              </w:tc>
              <w:tc>
                <w:tcPr>
                  <w:tcW w:w="76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单位</w:t>
                  </w:r>
                </w:p>
              </w:tc>
              <w:tc>
                <w:tcPr>
                  <w:tcW w:w="2721" w:type="dxa"/>
                  <w:gridSpan w:val="3"/>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数量</w:t>
                  </w:r>
                </w:p>
              </w:tc>
              <w:tc>
                <w:tcPr>
                  <w:tcW w:w="11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储存方式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76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现有工程</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扩建工程</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扩建后全厂</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高压油泵</w:t>
                  </w: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泵体法兰盘</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108</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108</w:t>
                  </w:r>
                </w:p>
              </w:tc>
              <w:tc>
                <w:tcPr>
                  <w:tcW w:w="11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原材料仓库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柱塞弹簧</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108</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108</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油压缓冲总成</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105</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105</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预装总成</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105</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105</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泵体（机加后）</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105</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105</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柱塞</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110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110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密封盖</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110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110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高压出油口</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110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110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执行阀壳体</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105</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105</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测试液（Exxsol D40）</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1000</w:t>
                  </w:r>
                </w:p>
              </w:tc>
              <w:tc>
                <w:tcPr>
                  <w:tcW w:w="11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化学品仓库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清洗剂（BASIC WASH）</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低压喷嘴</w:t>
                  </w: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衔铁棒</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265</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265</w:t>
                  </w:r>
                </w:p>
              </w:tc>
              <w:tc>
                <w:tcPr>
                  <w:tcW w:w="11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原材料仓库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线圈</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280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280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本体</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260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260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阀芯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270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270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阀座</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265</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265</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弹簧</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270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270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弹簧调节杆</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270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270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测试液（Exxsol D40）</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1000</w:t>
                  </w:r>
                </w:p>
              </w:tc>
              <w:tc>
                <w:tcPr>
                  <w:tcW w:w="11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化学品仓库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润滑油（克鲁勃 Summit</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HySyn FG68）</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600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600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清洗剂（青烽No.119）</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液压油（壳牌 Shell Tellus</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S2M22）</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600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600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润滑油（嘉实多EDM200）</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节气门</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阀体总</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成</w:t>
                  </w: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压铸铝件</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355</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355</w:t>
                  </w:r>
                </w:p>
              </w:tc>
              <w:tc>
                <w:tcPr>
                  <w:tcW w:w="113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原材料仓库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切削液（米勒斯-CL1399、</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尤希路-EZ22WR）</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2000</w:t>
                  </w:r>
                </w:p>
              </w:tc>
              <w:tc>
                <w:tcPr>
                  <w:tcW w:w="11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化学品仓库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清洗剂（SC898）</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液压油、润滑油（壳牌、得力士S2M46#；壳牌，通拿S2M68#））</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2000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润滑油（壳牌）</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吨</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0.03</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0.03</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油轨总成</w:t>
                  </w: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油管</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万套</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32</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32</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卡夹</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万套</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32</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32</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喷嘴</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万套</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32</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32</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7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机械式自动变速器执行器</w:t>
                  </w: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反旋转销</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111000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111000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法兰</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螺杆</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控制单元TCU</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111000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111000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电机</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出口连接器</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111000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111000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活塞</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148000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148000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连接器</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弹性过滤器</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油箱夹</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小球</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111000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111000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O</w:t>
                  </w:r>
                  <w:r>
                    <w:rPr>
                      <w:rFonts w:hint="eastAsia"/>
                      <w:highlight w:val="none"/>
                    </w:rPr>
                    <w:t>型环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单向阀门塞</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KOENIG</w:t>
                  </w:r>
                  <w:r>
                    <w:rPr>
                      <w:rFonts w:hint="eastAsia"/>
                      <w:highlight w:val="none"/>
                    </w:rPr>
                    <w:t>插头</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弹簧</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衬套</w:t>
                  </w:r>
                  <w:r>
                    <w:rPr>
                      <w:highlight w:val="none"/>
                    </w:rPr>
                    <w:t>O</w:t>
                  </w:r>
                  <w:r>
                    <w:rPr>
                      <w:rFonts w:hint="eastAsia"/>
                      <w:highlight w:val="none"/>
                    </w:rPr>
                    <w:t>型环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KOENIG</w:t>
                  </w:r>
                  <w:r>
                    <w:rPr>
                      <w:rFonts w:hint="eastAsia"/>
                      <w:highlight w:val="none"/>
                    </w:rPr>
                    <w:t>插头</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油箱</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油箱隔膜</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过滤器</w:t>
                  </w:r>
                  <w:r>
                    <w:rPr>
                      <w:highlight w:val="none"/>
                    </w:rPr>
                    <w:t>O</w:t>
                  </w:r>
                  <w:r>
                    <w:rPr>
                      <w:rFonts w:hint="eastAsia"/>
                      <w:highlight w:val="none"/>
                    </w:rPr>
                    <w:t>型环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油箱标签</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阀门锁</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111000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111000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油箱间</w:t>
                  </w:r>
                  <w:r>
                    <w:rPr>
                      <w:highlight w:val="none"/>
                    </w:rPr>
                    <w:t>O</w:t>
                  </w:r>
                  <w:r>
                    <w:rPr>
                      <w:rFonts w:hint="eastAsia"/>
                      <w:highlight w:val="none"/>
                    </w:rPr>
                    <w:t>型环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固定油箱螺栓</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CLIP</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油箱</w:t>
                  </w:r>
                  <w:r>
                    <w:rPr>
                      <w:highlight w:val="none"/>
                    </w:rPr>
                    <w:t>O</w:t>
                  </w:r>
                  <w:r>
                    <w:rPr>
                      <w:rFonts w:hint="eastAsia"/>
                      <w:highlight w:val="none"/>
                    </w:rPr>
                    <w:t>型环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 xml:space="preserve">LP </w:t>
                  </w:r>
                  <w:r>
                    <w:rPr>
                      <w:rFonts w:hint="eastAsia"/>
                      <w:highlight w:val="none"/>
                    </w:rPr>
                    <w:t>管道连接器</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LP</w:t>
                  </w:r>
                  <w:r>
                    <w:rPr>
                      <w:rFonts w:hint="eastAsia"/>
                      <w:highlight w:val="none"/>
                    </w:rPr>
                    <w:t>管道连接器</w:t>
                  </w:r>
                  <w:r>
                    <w:rPr>
                      <w:highlight w:val="none"/>
                    </w:rPr>
                    <w:t>O</w:t>
                  </w:r>
                  <w:r>
                    <w:rPr>
                      <w:rFonts w:hint="eastAsia"/>
                      <w:highlight w:val="none"/>
                    </w:rPr>
                    <w:t>型环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HP</w:t>
                  </w:r>
                  <w:r>
                    <w:rPr>
                      <w:rFonts w:hint="eastAsia"/>
                      <w:highlight w:val="none"/>
                    </w:rPr>
                    <w:t>管道</w:t>
                  </w:r>
                  <w:r>
                    <w:rPr>
                      <w:highlight w:val="none"/>
                    </w:rPr>
                    <w:t>O</w:t>
                  </w:r>
                  <w:r>
                    <w:rPr>
                      <w:rFonts w:hint="eastAsia"/>
                      <w:highlight w:val="none"/>
                    </w:rPr>
                    <w:t>型环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呼吸阀盖帽</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74000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支架</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衬套</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37000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切削、消磨浓缩液</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622.548</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622.548</w:t>
                  </w:r>
                </w:p>
              </w:tc>
              <w:tc>
                <w:tcPr>
                  <w:tcW w:w="11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化学品库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清洗液</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千克</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622.116</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622.116</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荧光剂</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千克</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3.6</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3.6</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硝酸钠</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千克</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879.228</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879.228</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浓硝酸（68%）</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进口液压油</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20160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20160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液压油</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测试液1</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千克</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测试液2</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无水乙醇</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真空泵油</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润滑油</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导轨油</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驻车执行器</w:t>
                  </w: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壳体</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原材料仓库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压缩限制器</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电机</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电机卡簧</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齿轮</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螺母轴承</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齿轮止动环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轴承卡环</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输出轴</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密封圈</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螺母</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衬套</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天线</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上盖</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PCBA</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堵头</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金属盖</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O型圈</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val="en-US" w:eastAsia="zh-CN"/>
                    </w:rPr>
                  </w:pPr>
                  <w:r>
                    <w:rPr>
                      <w:rFonts w:hint="eastAsia"/>
                      <w:highlight w:val="none"/>
                    </w:rPr>
                    <w:t>润滑</w:t>
                  </w:r>
                  <w:r>
                    <w:rPr>
                      <w:rFonts w:hint="eastAsia"/>
                      <w:highlight w:val="none"/>
                      <w:lang w:val="en-US" w:eastAsia="zh-CN"/>
                    </w:rPr>
                    <w:t>脂</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克</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11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化学品库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6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润滑油</w:t>
                  </w:r>
                </w:p>
              </w:tc>
              <w:tc>
                <w:tcPr>
                  <w:tcW w:w="76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升</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50</w:t>
                  </w:r>
                </w:p>
              </w:tc>
              <w:tc>
                <w:tcPr>
                  <w:tcW w:w="90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50</w:t>
                  </w:r>
                </w:p>
              </w:tc>
              <w:tc>
                <w:tcPr>
                  <w:tcW w:w="113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bl>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本项目生产产品的原辅材料与现有项目的产品和原辅材料无关。</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表 2-</w:t>
            </w:r>
            <w:r>
              <w:rPr>
                <w:rFonts w:hint="eastAsia"/>
                <w:highlight w:val="none"/>
                <w:lang w:eastAsia="zh-CN"/>
              </w:rPr>
              <w:t>7</w:t>
            </w:r>
            <w:r>
              <w:rPr>
                <w:highlight w:val="none"/>
                <w:lang w:eastAsia="zh-CN"/>
              </w:rPr>
              <w:t xml:space="preserve">  本项目主要辅料材料</w:t>
            </w:r>
            <w:r>
              <w:rPr>
                <w:rFonts w:hint="eastAsia"/>
                <w:highlight w:val="none"/>
                <w:lang w:eastAsia="zh-CN"/>
              </w:rPr>
              <w:t>型号及暂存量</w:t>
            </w:r>
            <w:r>
              <w:rPr>
                <w:highlight w:val="none"/>
                <w:lang w:eastAsia="zh-CN"/>
              </w:rPr>
              <w:t>一览表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
              <w:gridCol w:w="1227"/>
              <w:gridCol w:w="1773"/>
              <w:gridCol w:w="579"/>
              <w:gridCol w:w="808"/>
              <w:gridCol w:w="978"/>
              <w:gridCol w:w="978"/>
              <w:gridCol w:w="9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序号</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名称</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零件号</w:t>
                  </w:r>
                  <w:r>
                    <w:rPr>
                      <w:rFonts w:hint="eastAsia"/>
                      <w:highlight w:val="none"/>
                    </w:rPr>
                    <w:t>/型号</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单位</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用量</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最大暂存量</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暂存位置</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壳体</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HE.0231186/AB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8.4万</w:t>
                  </w:r>
                </w:p>
              </w:tc>
              <w:tc>
                <w:tcPr>
                  <w:tcW w:w="978"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原材料仓库</w:t>
                  </w:r>
                </w:p>
              </w:tc>
              <w:tc>
                <w:tcPr>
                  <w:tcW w:w="978"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生产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压缩限制器</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AF.0224876/AB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300万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25万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电机</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BM.0224733/AB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电机卡簧</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BL.0224738/AB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齿轮</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BH.0224747/AB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螺母轴承</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AY.0224751/AB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齿轮止动环</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AB.0224745/AB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8</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轴承卡环</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PAH0066987/AA</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9</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输出轴</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AA.0224836/AB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密封圈</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PAW0062924/AA</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螺母</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AY.0224751/AC</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衬套</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AF.0231193/AB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13</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天线</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AB.0224743/AB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上盖</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AS.0224894/AD</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PCBA</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SE.0229516/AB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16</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堵头</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BY.0224739/AB</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17</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金属盖</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PAJ0080554/AA</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18</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O</w:t>
                  </w:r>
                  <w:r>
                    <w:rPr>
                      <w:rFonts w:hint="eastAsia"/>
                      <w:highlight w:val="none"/>
                      <w:lang w:eastAsia="en-US"/>
                    </w:rPr>
                    <w:t>型圈</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PAJ0080554/AA</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件</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8.4万</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19</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润滑</w:t>
                  </w:r>
                  <w:r>
                    <w:rPr>
                      <w:rFonts w:hint="eastAsia"/>
                      <w:highlight w:val="none"/>
                      <w:lang w:val="en-US" w:eastAsia="zh-CN"/>
                    </w:rPr>
                    <w:t>脂</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MOLYKOTE AG-650</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克</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100万</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8.4万</w:t>
                  </w:r>
                </w:p>
              </w:tc>
              <w:tc>
                <w:tcPr>
                  <w:tcW w:w="978"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化学品库</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49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w:t>
                  </w:r>
                </w:p>
              </w:tc>
              <w:tc>
                <w:tcPr>
                  <w:tcW w:w="12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润滑油</w:t>
                  </w:r>
                </w:p>
              </w:tc>
              <w:tc>
                <w:tcPr>
                  <w:tcW w:w="177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w:t>
                  </w:r>
                </w:p>
              </w:tc>
              <w:tc>
                <w:tcPr>
                  <w:tcW w:w="57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升</w:t>
                  </w:r>
                </w:p>
              </w:tc>
              <w:tc>
                <w:tcPr>
                  <w:tcW w:w="80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50</w:t>
                  </w: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w:t>
                  </w:r>
                </w:p>
              </w:tc>
              <w:tc>
                <w:tcPr>
                  <w:tcW w:w="9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97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机械维护</w:t>
                  </w:r>
                </w:p>
              </w:tc>
            </w:tr>
          </w:tbl>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rPr>
            </w:pPr>
            <w:r>
              <w:rPr>
                <w:rFonts w:hint="eastAsia"/>
                <w:b/>
                <w:bCs/>
                <w:highlight w:val="none"/>
              </w:rPr>
              <w:t>6、水平衡</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项目用水主要为生活用水和餐饮用水；废水主要为生活污水和餐饮废水。项目依托原有厂房空置部分，车间主要采用干式保洁，主要去除灰尘和碎屑等干性垃圾，本项目建成后保洁方式不变，无新增保洁废水产生。</w:t>
            </w:r>
          </w:p>
          <w:p>
            <w:pPr>
              <w:pStyle w:val="20"/>
              <w:keepNext w:val="0"/>
              <w:keepLines w:val="0"/>
              <w:pageBreakBefore w:val="0"/>
              <w:kinsoku/>
              <w:wordWrap/>
              <w:overflowPunct w:val="0"/>
              <w:topLinePunct w:val="0"/>
              <w:autoSpaceDE w:val="0"/>
              <w:autoSpaceDN w:val="0"/>
              <w:bidi w:val="0"/>
              <w:adjustRightInd w:val="0"/>
              <w:snapToGrid w:val="0"/>
              <w:spacing w:line="219" w:lineRule="auto"/>
              <w:ind w:left="604"/>
              <w:textAlignment w:val="baseline"/>
              <w:rPr>
                <w:rFonts w:hint="eastAsia"/>
                <w:highlight w:val="none"/>
                <w:lang w:eastAsia="zh-CN"/>
              </w:rPr>
            </w:pPr>
            <w:r>
              <w:rPr>
                <w:spacing w:val="-3"/>
                <w:highlight w:val="none"/>
                <w:lang w:eastAsia="zh-CN"/>
              </w:rPr>
              <w:t>（</w:t>
            </w:r>
            <w:r>
              <w:rPr>
                <w:rFonts w:ascii="Times New Roman" w:hAnsi="Times New Roman" w:eastAsia="Times New Roman" w:cs="Times New Roman"/>
                <w:spacing w:val="-3"/>
                <w:highlight w:val="none"/>
                <w:lang w:eastAsia="zh-CN"/>
              </w:rPr>
              <w:t>1</w:t>
            </w:r>
            <w:r>
              <w:rPr>
                <w:spacing w:val="-3"/>
                <w:highlight w:val="none"/>
                <w:lang w:eastAsia="zh-CN"/>
              </w:rPr>
              <w:t>）生活用水</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本</w:t>
            </w:r>
            <w:r>
              <w:rPr>
                <w:highlight w:val="none"/>
                <w:lang w:eastAsia="zh-CN"/>
              </w:rPr>
              <w:t>项目</w:t>
            </w:r>
            <w:r>
              <w:rPr>
                <w:rFonts w:hint="eastAsia"/>
                <w:highlight w:val="none"/>
                <w:lang w:eastAsia="zh-CN"/>
              </w:rPr>
              <w:t>新增</w:t>
            </w:r>
            <w:r>
              <w:rPr>
                <w:highlight w:val="none"/>
                <w:lang w:eastAsia="zh-CN"/>
              </w:rPr>
              <w:t>劳动员工</w:t>
            </w:r>
            <w:r>
              <w:rPr>
                <w:rFonts w:hint="eastAsia"/>
                <w:highlight w:val="none"/>
                <w:lang w:eastAsia="zh-CN"/>
              </w:rPr>
              <w:t>15</w:t>
            </w:r>
            <w:r>
              <w:rPr>
                <w:highlight w:val="none"/>
                <w:lang w:eastAsia="zh-CN"/>
              </w:rPr>
              <w:t>人，</w:t>
            </w:r>
            <w:r>
              <w:rPr>
                <w:rFonts w:hint="eastAsia"/>
                <w:highlight w:val="none"/>
                <w:lang w:val="en-US" w:eastAsia="zh-CN"/>
              </w:rPr>
              <w:t>参照</w:t>
            </w:r>
            <w:r>
              <w:rPr>
                <w:rFonts w:hint="eastAsia"/>
                <w:highlight w:val="none"/>
                <w:lang w:eastAsia="zh-CN"/>
              </w:rPr>
              <w:t>《</w:t>
            </w:r>
            <w:r>
              <w:rPr>
                <w:rFonts w:hint="eastAsia"/>
                <w:highlight w:val="none"/>
                <w:lang w:val="en-US" w:eastAsia="zh-CN"/>
              </w:rPr>
              <w:t>安徽省行业用水定额</w:t>
            </w:r>
            <w:r>
              <w:rPr>
                <w:rFonts w:hint="eastAsia"/>
                <w:highlight w:val="none"/>
                <w:lang w:eastAsia="zh-CN"/>
              </w:rPr>
              <w:t>（DB34/T 679—2025）》，职工人均用水量按</w:t>
            </w:r>
            <w:r>
              <w:rPr>
                <w:rFonts w:hint="eastAsia"/>
                <w:highlight w:val="none"/>
                <w:lang w:val="en-US" w:eastAsia="zh-CN"/>
              </w:rPr>
              <w:t>38m</w:t>
            </w:r>
            <w:r>
              <w:rPr>
                <w:rFonts w:hint="eastAsia"/>
                <w:highlight w:val="none"/>
                <w:vertAlign w:val="superscript"/>
                <w:lang w:val="en-US" w:eastAsia="zh-CN"/>
              </w:rPr>
              <w:t>3</w:t>
            </w:r>
            <w:r>
              <w:rPr>
                <w:rFonts w:hint="eastAsia"/>
                <w:highlight w:val="none"/>
                <w:lang w:val="en-US" w:eastAsia="zh-CN"/>
              </w:rPr>
              <w:t>/（人·a）计</w:t>
            </w:r>
            <w:r>
              <w:rPr>
                <w:rFonts w:hint="eastAsia"/>
                <w:highlight w:val="none"/>
                <w:lang w:eastAsia="zh-CN"/>
              </w:rPr>
              <w:t>。则生活用水的用水量</w:t>
            </w:r>
            <w:r>
              <w:rPr>
                <w:rFonts w:hint="eastAsia"/>
                <w:highlight w:val="none"/>
                <w:lang w:val="en-US" w:eastAsia="zh-CN"/>
              </w:rPr>
              <w:t>新增</w:t>
            </w:r>
            <w:r>
              <w:rPr>
                <w:rFonts w:hint="eastAsia"/>
                <w:highlight w:val="none"/>
                <w:lang w:eastAsia="zh-CN"/>
              </w:rPr>
              <w:t>为</w:t>
            </w:r>
            <w:r>
              <w:rPr>
                <w:rFonts w:hint="eastAsia"/>
                <w:highlight w:val="none"/>
                <w:lang w:val="en-US" w:eastAsia="zh-CN"/>
              </w:rPr>
              <w:t>1.9</w:t>
            </w:r>
            <w:r>
              <w:rPr>
                <w:rFonts w:hint="eastAsia"/>
                <w:highlight w:val="none"/>
                <w:lang w:eastAsia="zh-CN"/>
              </w:rPr>
              <w:t>t/d，即</w:t>
            </w:r>
            <w:r>
              <w:rPr>
                <w:rFonts w:hint="eastAsia"/>
                <w:highlight w:val="none"/>
                <w:lang w:val="en-US" w:eastAsia="zh-CN"/>
              </w:rPr>
              <w:t>570</w:t>
            </w:r>
            <w:r>
              <w:rPr>
                <w:rFonts w:hint="eastAsia"/>
                <w:highlight w:val="none"/>
                <w:lang w:eastAsia="zh-CN"/>
              </w:rPr>
              <w:t>t/a。生活污水的排水量取用水量的85%，则生活污水排放量约为</w:t>
            </w:r>
            <w:r>
              <w:rPr>
                <w:rFonts w:hint="eastAsia"/>
                <w:highlight w:val="none"/>
                <w:lang w:val="en-US" w:eastAsia="zh-CN"/>
              </w:rPr>
              <w:t>1.615</w:t>
            </w:r>
            <w:r>
              <w:rPr>
                <w:rFonts w:hint="eastAsia"/>
                <w:highlight w:val="none"/>
                <w:lang w:eastAsia="zh-CN"/>
              </w:rPr>
              <w:t>t/d，</w:t>
            </w:r>
            <w:r>
              <w:rPr>
                <w:rFonts w:hint="eastAsia"/>
                <w:highlight w:val="none"/>
                <w:lang w:val="en-US" w:eastAsia="zh-CN"/>
              </w:rPr>
              <w:t>484.5</w:t>
            </w:r>
            <w:r>
              <w:rPr>
                <w:rFonts w:hint="eastAsia"/>
                <w:highlight w:val="none"/>
                <w:lang w:eastAsia="zh-CN"/>
              </w:rPr>
              <w:t>t/a（全年工作日为300天）。生活污水经化粪池处理后排入市政污水管网。</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（2）餐饮用水</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本项目提供</w:t>
            </w:r>
            <w:r>
              <w:rPr>
                <w:highlight w:val="none"/>
                <w:lang w:eastAsia="zh-CN"/>
              </w:rPr>
              <w:t>劳动员工</w:t>
            </w:r>
            <w:r>
              <w:rPr>
                <w:rFonts w:hint="eastAsia"/>
                <w:highlight w:val="none"/>
                <w:lang w:eastAsia="zh-CN"/>
              </w:rPr>
              <w:t>工作餐，不提供住宿。本项目餐饮用水按20L/人·天计算，则餐饮用水的总用水量约为0.3t/d，即90t/a。餐饮废水的排水量取用水量的8</w:t>
            </w:r>
            <w:r>
              <w:rPr>
                <w:rFonts w:hint="eastAsia"/>
                <w:highlight w:val="none"/>
                <w:lang w:val="en-US" w:eastAsia="zh-CN"/>
              </w:rPr>
              <w:t>5</w:t>
            </w:r>
            <w:r>
              <w:rPr>
                <w:rFonts w:hint="eastAsia"/>
                <w:highlight w:val="none"/>
                <w:lang w:eastAsia="zh-CN"/>
              </w:rPr>
              <w:t>%，则餐饮废水排放量约为0.255t/d，76.5t/a（全年工作日为300天）。餐饮废水经油水分离器处理后进入化粪池，经化粪池处理后排入市政污水管网。</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（3）未可预见用水</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按以上新增用水量的10%考虑，则用水量为0.</w:t>
            </w:r>
            <w:r>
              <w:rPr>
                <w:rFonts w:hint="eastAsia"/>
                <w:highlight w:val="none"/>
                <w:lang w:val="en-US" w:eastAsia="zh-CN"/>
              </w:rPr>
              <w:t>22</w:t>
            </w:r>
            <w:r>
              <w:rPr>
                <w:rFonts w:hint="eastAsia"/>
                <w:highlight w:val="none"/>
                <w:lang w:eastAsia="zh-CN"/>
              </w:rPr>
              <w:t>m</w:t>
            </w:r>
            <w:r>
              <w:rPr>
                <w:rFonts w:hint="eastAsia"/>
                <w:highlight w:val="none"/>
                <w:vertAlign w:val="superscript"/>
                <w:lang w:eastAsia="zh-CN"/>
              </w:rPr>
              <w:t>3</w:t>
            </w:r>
            <w:r>
              <w:rPr>
                <w:rFonts w:hint="eastAsia"/>
                <w:highlight w:val="none"/>
                <w:lang w:eastAsia="zh-CN"/>
              </w:rPr>
              <w:t>/d（</w:t>
            </w:r>
            <w:r>
              <w:rPr>
                <w:rFonts w:hint="eastAsia"/>
                <w:highlight w:val="none"/>
                <w:lang w:val="en-US" w:eastAsia="zh-CN"/>
              </w:rPr>
              <w:t>66</w:t>
            </w:r>
            <w:r>
              <w:rPr>
                <w:rFonts w:hint="eastAsia"/>
                <w:highlight w:val="none"/>
                <w:lang w:eastAsia="zh-CN"/>
              </w:rPr>
              <w:t>t/a），排污系数以85%计，则废水的产生量约为0.</w:t>
            </w:r>
            <w:r>
              <w:rPr>
                <w:rFonts w:hint="eastAsia"/>
                <w:highlight w:val="none"/>
                <w:lang w:val="en-US" w:eastAsia="zh-CN"/>
              </w:rPr>
              <w:t>187</w:t>
            </w:r>
            <w:r>
              <w:rPr>
                <w:rFonts w:hint="eastAsia"/>
                <w:highlight w:val="none"/>
                <w:lang w:eastAsia="zh-CN"/>
              </w:rPr>
              <w:t>m</w:t>
            </w:r>
            <w:r>
              <w:rPr>
                <w:rFonts w:hint="eastAsia"/>
                <w:highlight w:val="none"/>
                <w:vertAlign w:val="superscript"/>
                <w:lang w:eastAsia="zh-CN"/>
              </w:rPr>
              <w:t>3</w:t>
            </w:r>
            <w:r>
              <w:rPr>
                <w:rFonts w:hint="eastAsia"/>
                <w:highlight w:val="none"/>
                <w:lang w:eastAsia="zh-CN"/>
              </w:rPr>
              <w:t>/d（</w:t>
            </w:r>
            <w:r>
              <w:rPr>
                <w:rFonts w:hint="eastAsia"/>
                <w:highlight w:val="none"/>
                <w:lang w:val="en-US" w:eastAsia="zh-CN"/>
              </w:rPr>
              <w:t>56.1</w:t>
            </w:r>
            <w:r>
              <w:rPr>
                <w:rFonts w:hint="eastAsia"/>
                <w:highlight w:val="none"/>
                <w:lang w:eastAsia="zh-CN"/>
              </w:rPr>
              <w:t>t/a）。</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本项目水平衡图如下图所示：</w:t>
            </w:r>
          </w:p>
          <w:p>
            <w:pPr>
              <w:keepNext w:val="0"/>
              <w:keepLines w:val="0"/>
              <w:pageBreakBefore w:val="0"/>
              <w:kinsoku/>
              <w:wordWrap/>
              <w:overflowPunct w:val="0"/>
              <w:topLinePunct w:val="0"/>
              <w:autoSpaceDE w:val="0"/>
              <w:autoSpaceDN w:val="0"/>
              <w:bidi w:val="0"/>
              <w:adjustRightInd w:val="0"/>
              <w:snapToGrid w:val="0"/>
              <w:jc w:val="center"/>
              <w:textAlignment w:val="baseline"/>
              <w:rPr>
                <w:highlight w:val="none"/>
                <w:lang w:eastAsia="zh-CN"/>
              </w:rPr>
            </w:pPr>
            <w:r>
              <w:rPr>
                <w:rFonts w:hint="eastAsia"/>
                <w:highlight w:val="none"/>
                <w:lang w:eastAsia="zh-CN"/>
              </w:rPr>
              <w:object>
                <v:shape id="_x0000_i1025" o:spt="75" type="#_x0000_t75" style="height:187.5pt;width:404.3pt;" o:ole="t" filled="f" o:preferrelative="t" stroked="f" coordsize="21600,21600">
                  <v:path/>
                  <v:fill on="f" focussize="0,0"/>
                  <v:stroke on="f"/>
                  <v:imagedata r:id="rId15" o:title=""/>
                  <o:lock v:ext="edit" aspectratio="t"/>
                  <w10:wrap type="none"/>
                  <w10:anchorlock/>
                </v:shape>
                <o:OLEObject Type="Embed" ProgID="Visio.Drawing.15" ShapeID="_x0000_i1025" DrawAspect="Content" ObjectID="_1468075725" r:id="rId14">
                  <o:LockedField>false</o:LockedField>
                </o:OLEObject>
              </w:objec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rFonts w:hint="eastAsia"/>
                <w:highlight w:val="none"/>
                <w:lang w:eastAsia="zh-CN"/>
              </w:rPr>
              <w:t>图2-1  本项目水平衡图（t/d）</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现有项目水平衡图如下图所示：</w:t>
            </w:r>
          </w:p>
          <w:p>
            <w:pPr>
              <w:keepNext w:val="0"/>
              <w:keepLines w:val="0"/>
              <w:pageBreakBefore w:val="0"/>
              <w:kinsoku/>
              <w:wordWrap/>
              <w:overflowPunct w:val="0"/>
              <w:topLinePunct w:val="0"/>
              <w:autoSpaceDE w:val="0"/>
              <w:autoSpaceDN w:val="0"/>
              <w:bidi w:val="0"/>
              <w:adjustRightInd w:val="0"/>
              <w:snapToGrid w:val="0"/>
              <w:jc w:val="center"/>
              <w:textAlignment w:val="baseline"/>
              <w:rPr>
                <w:highlight w:val="none"/>
              </w:rPr>
            </w:pPr>
          </w:p>
          <w:p>
            <w:pPr>
              <w:keepNext w:val="0"/>
              <w:keepLines w:val="0"/>
              <w:pageBreakBefore w:val="0"/>
              <w:kinsoku/>
              <w:wordWrap/>
              <w:overflowPunct w:val="0"/>
              <w:topLinePunct w:val="0"/>
              <w:autoSpaceDE w:val="0"/>
              <w:autoSpaceDN w:val="0"/>
              <w:bidi w:val="0"/>
              <w:adjustRightInd w:val="0"/>
              <w:snapToGrid w:val="0"/>
              <w:jc w:val="center"/>
              <w:textAlignment w:val="baseline"/>
              <w:rPr>
                <w:b/>
                <w:bCs/>
                <w:spacing w:val="3"/>
                <w:sz w:val="20"/>
                <w:szCs w:val="20"/>
                <w:highlight w:val="none"/>
                <w:lang w:eastAsia="zh-CN"/>
              </w:rPr>
            </w:pPr>
            <w:r>
              <w:rPr>
                <w:b/>
                <w:bCs/>
                <w:spacing w:val="3"/>
                <w:sz w:val="20"/>
                <w:szCs w:val="20"/>
                <w:highlight w:val="none"/>
                <w:lang w:eastAsia="zh-CN"/>
              </w:rPr>
              <w:object>
                <v:shape id="_x0000_i1026" o:spt="75" type="#_x0000_t75" style="height:634.95pt;width:416.3pt;" o:ole="t" filled="f" o:preferrelative="t" stroked="f" coordsize="21600,21600">
                  <v:path/>
                  <v:fill on="f" focussize="0,0"/>
                  <v:stroke on="f"/>
                  <v:imagedata r:id="rId17" o:title=""/>
                  <o:lock v:ext="edit" aspectratio="t"/>
                  <w10:wrap type="none"/>
                  <w10:anchorlock/>
                </v:shape>
                <o:OLEObject Type="Embed" ProgID="Visio.Drawing.15" ShapeID="_x0000_i1026" DrawAspect="Content" ObjectID="_1468075726" r:id="rId16">
                  <o:LockedField>false</o:LockedField>
                </o:OLEObject>
              </w:object>
            </w:r>
          </w:p>
          <w:p>
            <w:pPr>
              <w:keepNext w:val="0"/>
              <w:keepLines w:val="0"/>
              <w:pageBreakBefore w:val="0"/>
              <w:kinsoku/>
              <w:wordWrap/>
              <w:overflowPunct w:val="0"/>
              <w:topLinePunct w:val="0"/>
              <w:autoSpaceDE w:val="0"/>
              <w:autoSpaceDN w:val="0"/>
              <w:bidi w:val="0"/>
              <w:adjustRightInd w:val="0"/>
              <w:snapToGrid w:val="0"/>
              <w:jc w:val="center"/>
              <w:textAlignment w:val="baseline"/>
              <w:rPr>
                <w:highlight w:val="none"/>
                <w:lang w:eastAsia="zh-CN"/>
              </w:rPr>
            </w:pPr>
            <w:r>
              <w:rPr>
                <w:b/>
                <w:bCs/>
                <w:spacing w:val="3"/>
                <w:sz w:val="20"/>
                <w:szCs w:val="20"/>
                <w:highlight w:val="none"/>
                <w:lang w:eastAsia="zh-CN"/>
              </w:rPr>
              <w:t>图</w:t>
            </w:r>
            <w:r>
              <w:rPr>
                <w:spacing w:val="-27"/>
                <w:sz w:val="20"/>
                <w:szCs w:val="20"/>
                <w:highlight w:val="none"/>
                <w:lang w:eastAsia="zh-CN"/>
              </w:rPr>
              <w:t xml:space="preserve"> </w:t>
            </w:r>
            <w:r>
              <w:rPr>
                <w:rFonts w:eastAsia="Times New Roman" w:cs="Times New Roman"/>
                <w:b/>
                <w:bCs/>
                <w:spacing w:val="3"/>
                <w:sz w:val="20"/>
                <w:szCs w:val="20"/>
                <w:highlight w:val="none"/>
                <w:lang w:eastAsia="zh-CN"/>
              </w:rPr>
              <w:t>2-</w:t>
            </w:r>
            <w:r>
              <w:rPr>
                <w:rFonts w:hint="eastAsia" w:cs="Times New Roman"/>
                <w:b/>
                <w:bCs/>
                <w:spacing w:val="3"/>
                <w:sz w:val="20"/>
                <w:szCs w:val="20"/>
                <w:highlight w:val="none"/>
                <w:lang w:eastAsia="zh-CN"/>
              </w:rPr>
              <w:t>2</w:t>
            </w:r>
            <w:r>
              <w:rPr>
                <w:rFonts w:eastAsia="Times New Roman" w:cs="Times New Roman"/>
                <w:b/>
                <w:bCs/>
                <w:spacing w:val="3"/>
                <w:sz w:val="20"/>
                <w:szCs w:val="20"/>
                <w:highlight w:val="none"/>
                <w:lang w:eastAsia="zh-CN"/>
              </w:rPr>
              <w:t xml:space="preserve">  </w:t>
            </w:r>
            <w:r>
              <w:rPr>
                <w:rFonts w:hint="eastAsia"/>
                <w:b/>
                <w:bCs/>
                <w:spacing w:val="3"/>
                <w:sz w:val="20"/>
                <w:szCs w:val="20"/>
                <w:highlight w:val="none"/>
                <w:lang w:eastAsia="zh-CN"/>
              </w:rPr>
              <w:t>现有</w:t>
            </w:r>
            <w:r>
              <w:rPr>
                <w:b/>
                <w:bCs/>
                <w:spacing w:val="3"/>
                <w:sz w:val="20"/>
                <w:szCs w:val="20"/>
                <w:highlight w:val="none"/>
                <w:lang w:eastAsia="zh-CN"/>
              </w:rPr>
              <w:t>项目水平衡图（</w:t>
            </w:r>
            <w:r>
              <w:rPr>
                <w:rFonts w:eastAsia="Times New Roman" w:cs="Times New Roman"/>
                <w:b/>
                <w:bCs/>
                <w:spacing w:val="3"/>
                <w:sz w:val="20"/>
                <w:szCs w:val="20"/>
                <w:highlight w:val="none"/>
                <w:lang w:eastAsia="zh-CN"/>
              </w:rPr>
              <w:t>t/d</w:t>
            </w:r>
            <w:r>
              <w:rPr>
                <w:b/>
                <w:bCs/>
                <w:spacing w:val="3"/>
                <w:sz w:val="20"/>
                <w:szCs w:val="20"/>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扩建后项目水平衡图如下图所示：</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object>
                <v:shape id="_x0000_i1027" o:spt="75" type="#_x0000_t75" style="height:632.15pt;width:409.45pt;" o:ole="t" filled="f" o:preferrelative="t" stroked="f" coordsize="21600,21600">
                  <v:path/>
                  <v:fill on="f" focussize="0,0"/>
                  <v:stroke on="f"/>
                  <v:imagedata r:id="rId19" o:title=""/>
                  <o:lock v:ext="edit" aspectratio="t"/>
                  <w10:wrap type="none"/>
                  <w10:anchorlock/>
                </v:shape>
                <o:OLEObject Type="Embed" ProgID="Visio.Drawing.15" ShapeID="_x0000_i1027" DrawAspect="Content" ObjectID="_1468075727" r:id="rId18">
                  <o:LockedField>false</o:LockedField>
                </o:OLEObject>
              </w:objec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图 2-</w:t>
            </w:r>
            <w:r>
              <w:rPr>
                <w:rFonts w:hint="eastAsia"/>
                <w:highlight w:val="none"/>
                <w:lang w:eastAsia="zh-CN"/>
              </w:rPr>
              <w:t>3</w:t>
            </w:r>
            <w:r>
              <w:rPr>
                <w:highlight w:val="none"/>
                <w:lang w:eastAsia="zh-CN"/>
              </w:rPr>
              <w:t xml:space="preserve">  </w:t>
            </w:r>
            <w:r>
              <w:rPr>
                <w:rFonts w:hint="eastAsia"/>
                <w:highlight w:val="none"/>
                <w:lang w:eastAsia="zh-CN"/>
              </w:rPr>
              <w:t>扩建后</w:t>
            </w:r>
            <w:r>
              <w:rPr>
                <w:highlight w:val="none"/>
                <w:lang w:eastAsia="zh-CN"/>
              </w:rPr>
              <w:t>项目水平衡图（t/d）</w:t>
            </w:r>
          </w:p>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b/>
                <w:bCs/>
                <w:highlight w:val="none"/>
                <w:lang w:eastAsia="zh-CN"/>
              </w:rPr>
              <w:t>7、劳动定员及工作制度</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本</w:t>
            </w:r>
            <w:r>
              <w:rPr>
                <w:highlight w:val="none"/>
                <w:lang w:eastAsia="zh-CN"/>
              </w:rPr>
              <w:t>项目</w:t>
            </w:r>
            <w:r>
              <w:rPr>
                <w:rFonts w:hint="eastAsia"/>
                <w:highlight w:val="none"/>
                <w:lang w:eastAsia="zh-CN"/>
              </w:rPr>
              <w:t>新增</w:t>
            </w:r>
            <w:r>
              <w:rPr>
                <w:highlight w:val="none"/>
                <w:lang w:eastAsia="zh-CN"/>
              </w:rPr>
              <w:t>劳动定员</w:t>
            </w:r>
            <w:r>
              <w:rPr>
                <w:rFonts w:hint="eastAsia"/>
                <w:highlight w:val="none"/>
                <w:lang w:eastAsia="zh-CN"/>
              </w:rPr>
              <w:t>15</w:t>
            </w:r>
            <w:r>
              <w:rPr>
                <w:highlight w:val="none"/>
                <w:lang w:eastAsia="zh-CN"/>
              </w:rPr>
              <w:t>人，实行3班制，每班8小时，年工作日</w:t>
            </w:r>
            <w:r>
              <w:rPr>
                <w:rFonts w:hint="eastAsia"/>
                <w:highlight w:val="none"/>
                <w:lang w:eastAsia="zh-CN"/>
              </w:rPr>
              <w:t>300</w:t>
            </w:r>
            <w:r>
              <w:rPr>
                <w:highlight w:val="none"/>
                <w:lang w:eastAsia="zh-CN"/>
              </w:rPr>
              <w:t>天。项目</w:t>
            </w:r>
            <w:r>
              <w:rPr>
                <w:rFonts w:hint="eastAsia"/>
                <w:highlight w:val="none"/>
                <w:lang w:eastAsia="zh-CN"/>
              </w:rPr>
              <w:t>提供工作餐，不提供住宿</w:t>
            </w:r>
            <w:r>
              <w:rPr>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rFonts w:hint="eastAsia"/>
                <w:b/>
                <w:bCs/>
                <w:highlight w:val="none"/>
                <w:lang w:eastAsia="zh-CN"/>
              </w:rPr>
              <w:t>8、厂区平面布置情况</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本项目位于合肥高新区柏堰科技园宁西路108号马瑞利动力系统（合肥）有限公司厂区内，利用生产厂房内空置车间，设置驻车执行器装配线设备，总体布置按照用地集约、紧凑，功能分区合理，工艺流线顺畅，运输线路短捷原则。</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因此，本项目平面布局功能分区明确，平面布置合理</w:t>
            </w:r>
            <w:r>
              <w:rPr>
                <w:rFonts w:hint="eastAsia"/>
                <w:color w:val="auto"/>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578" w:hRule="atLeast"/>
        </w:trPr>
        <w:tc>
          <w:tcPr>
            <w:tcW w:w="831" w:type="dxa"/>
            <w:tcBorders>
              <w:right w:val="single" w:color="000000" w:sz="2" w:space="0"/>
            </w:tcBorders>
            <w:vAlign w:val="center"/>
          </w:tcPr>
          <w:p>
            <w:pPr>
              <w:keepNext w:val="0"/>
              <w:keepLines w:val="0"/>
              <w:pageBreakBefore w:val="0"/>
              <w:kinsoku/>
              <w:wordWrap/>
              <w:overflowPunct w:val="0"/>
              <w:topLinePunct w:val="0"/>
              <w:autoSpaceDE w:val="0"/>
              <w:autoSpaceDN w:val="0"/>
              <w:bidi w:val="0"/>
              <w:adjustRightInd w:val="0"/>
              <w:snapToGrid w:val="0"/>
              <w:jc w:val="center"/>
              <w:textAlignment w:val="baseline"/>
              <w:rPr>
                <w:highlight w:val="none"/>
                <w:lang w:eastAsia="zh-CN"/>
              </w:rPr>
            </w:pPr>
            <w:r>
              <w:rPr>
                <w:rFonts w:hint="eastAsia"/>
                <w:highlight w:val="none"/>
                <w:lang w:eastAsia="zh-CN"/>
              </w:rPr>
              <w:t>工艺流程和产排污环节</w:t>
            </w:r>
          </w:p>
        </w:tc>
        <w:tc>
          <w:tcPr>
            <w:tcW w:w="8157" w:type="dxa"/>
            <w:tcBorders>
              <w:left w:val="single" w:color="000000" w:sz="2" w:space="0"/>
            </w:tcBorders>
          </w:tcPr>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rFonts w:hint="eastAsia"/>
                <w:b/>
                <w:bCs/>
                <w:highlight w:val="none"/>
                <w:lang w:eastAsia="zh-CN"/>
              </w:rPr>
              <w:t>一、施工期</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建设单位依托现有厂房，经简单装修、工作台和设备安装、调试后便可投入使用。施工期污染主要为噪声。项目施工阶段，施工影响小，故评价不进行过多分析。</w:t>
            </w:r>
          </w:p>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rFonts w:hint="eastAsia"/>
                <w:b/>
                <w:bCs/>
                <w:highlight w:val="none"/>
                <w:lang w:eastAsia="zh-CN"/>
              </w:rPr>
              <w:t>二、运营期</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1、驻车执行器工艺流程</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rPr>
            </w:pPr>
            <w:r>
              <w:rPr>
                <w:rFonts w:hint="eastAsia"/>
                <w:highlight w:val="none"/>
              </w:rPr>
              <w:t>工艺流程图：</w:t>
            </w:r>
          </w:p>
          <w:p>
            <w:pPr>
              <w:pStyle w:val="8"/>
              <w:keepNext w:val="0"/>
              <w:keepLines w:val="0"/>
              <w:pageBreakBefore w:val="0"/>
              <w:widowControl/>
              <w:kinsoku/>
              <w:wordWrap/>
              <w:overflowPunct w:val="0"/>
              <w:topLinePunct w:val="0"/>
              <w:autoSpaceDE w:val="0"/>
              <w:autoSpaceDN w:val="0"/>
              <w:bidi w:val="0"/>
              <w:adjustRightInd w:val="0"/>
              <w:snapToGrid w:val="0"/>
              <w:ind w:firstLine="0" w:firstLineChars="0"/>
              <w:jc w:val="center"/>
              <w:textAlignment w:val="baseline"/>
              <w:rPr>
                <w:highlight w:val="none"/>
              </w:rPr>
            </w:pPr>
            <w:r>
              <w:rPr>
                <w:rFonts w:hint="eastAsia"/>
                <w:highlight w:val="none"/>
              </w:rPr>
              <w:object>
                <v:shape id="_x0000_i1028" o:spt="75" type="#_x0000_t75" style="height:642.1pt;width:372.15pt;" o:ole="t" filled="f" o:preferrelative="t" stroked="f" coordsize="21600,21600">
                  <v:path/>
                  <v:fill on="f" focussize="0,0"/>
                  <v:stroke on="f"/>
                  <v:imagedata r:id="rId21" o:title=""/>
                  <o:lock v:ext="edit" aspectratio="t"/>
                  <w10:wrap type="none"/>
                  <w10:anchorlock/>
                </v:shape>
                <o:OLEObject Type="Embed" ProgID="Visio.Drawing.15" ShapeID="_x0000_i1028" DrawAspect="Content" ObjectID="_1468075728" r:id="rId20">
                  <o:LockedField>false</o:LockedField>
                </o:OLEObject>
              </w:objec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rFonts w:hint="eastAsia"/>
                <w:highlight w:val="none"/>
                <w:lang w:eastAsia="zh-CN"/>
              </w:rPr>
              <w:t>图2-4  驻车执行器生产工艺流程图</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工艺流程及产物节点简述：</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（1）安装限制器：将压缩限制器安装至驻车执行器壳体；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（2）内部二维码激光打刻：在壳体内部激光打刻二维码；</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（3）装配：驻车执行器壳体装配电机和电机卡簧；</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（4）</w:t>
            </w:r>
            <w:r>
              <w:rPr>
                <w:rFonts w:hint="eastAsia"/>
                <w:highlight w:val="none"/>
                <w:lang w:eastAsia="zh-CN"/>
              </w:rPr>
              <w:t>电机电流检验：对装配完成的电机进行电流检测，最多重测2次，合格品进入下一工序，产生不合格品S1-1；</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5</w:t>
            </w:r>
            <w:r>
              <w:rPr>
                <w:highlight w:val="none"/>
                <w:lang w:eastAsia="zh-CN"/>
              </w:rPr>
              <w:t>）</w:t>
            </w:r>
            <w:r>
              <w:rPr>
                <w:rFonts w:hint="eastAsia"/>
                <w:highlight w:val="none"/>
                <w:lang w:eastAsia="zh-CN"/>
              </w:rPr>
              <w:t>安装：将齿轮、轴承、齿轮止动环、轴承卡环安装至驻车执行器壳体；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6</w:t>
            </w:r>
            <w:r>
              <w:rPr>
                <w:highlight w:val="none"/>
                <w:lang w:eastAsia="zh-CN"/>
              </w:rPr>
              <w:t>）</w:t>
            </w:r>
            <w:r>
              <w:rPr>
                <w:rFonts w:hint="eastAsia"/>
                <w:highlight w:val="none"/>
                <w:lang w:eastAsia="zh-CN"/>
              </w:rPr>
              <w:t>齿轮润滑：润滑脂通过喷油阀喷在齿轮上面，对齿轮进行润滑，油脂不会滴落，不会产生废润滑油脂；</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7</w:t>
            </w:r>
            <w:r>
              <w:rPr>
                <w:highlight w:val="none"/>
                <w:lang w:eastAsia="zh-CN"/>
              </w:rPr>
              <w:t>）</w:t>
            </w:r>
            <w:r>
              <w:rPr>
                <w:rFonts w:hint="eastAsia"/>
                <w:highlight w:val="none"/>
                <w:lang w:eastAsia="zh-CN"/>
              </w:rPr>
              <w:t>安装：将输出轴、密封圈安装至驻车执行器壳体；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8</w:t>
            </w:r>
            <w:r>
              <w:rPr>
                <w:highlight w:val="none"/>
                <w:lang w:eastAsia="zh-CN"/>
              </w:rPr>
              <w:t>）</w:t>
            </w:r>
            <w:r>
              <w:rPr>
                <w:rFonts w:hint="eastAsia"/>
                <w:highlight w:val="none"/>
                <w:lang w:eastAsia="zh-CN"/>
              </w:rPr>
              <w:t>输出轴润滑：润滑脂通过喷油阀喷在输出轴上面，对输出轴进行润滑，油脂不会滴落，不会产生废润滑油脂；</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9</w:t>
            </w:r>
            <w:r>
              <w:rPr>
                <w:highlight w:val="none"/>
                <w:lang w:eastAsia="zh-CN"/>
              </w:rPr>
              <w:t>）</w:t>
            </w:r>
            <w:r>
              <w:rPr>
                <w:rFonts w:hint="eastAsia"/>
                <w:highlight w:val="none"/>
                <w:lang w:eastAsia="zh-CN"/>
              </w:rPr>
              <w:t>安装：输出轴拧入内螺母并安装衬套；</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10</w:t>
            </w:r>
            <w:r>
              <w:rPr>
                <w:highlight w:val="none"/>
                <w:lang w:eastAsia="zh-CN"/>
              </w:rPr>
              <w:t>）</w:t>
            </w:r>
            <w:r>
              <w:rPr>
                <w:rFonts w:hint="eastAsia"/>
                <w:highlight w:val="none"/>
                <w:lang w:eastAsia="zh-CN"/>
              </w:rPr>
              <w:t>激光焊接：将安装完成后的组件进行激光焊接，</w:t>
            </w:r>
            <w:r>
              <w:rPr>
                <w:highlight w:val="none"/>
                <w:lang w:eastAsia="zh-CN"/>
              </w:rPr>
              <w:t>本工序不使用焊料，焊接面积很小</w:t>
            </w:r>
            <w:r>
              <w:rPr>
                <w:rFonts w:hint="eastAsia"/>
                <w:highlight w:val="none"/>
                <w:lang w:eastAsia="zh-CN"/>
              </w:rPr>
              <w:t>，仅产生少量焊接烟尘G1-1；</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11</w:t>
            </w:r>
            <w:r>
              <w:rPr>
                <w:highlight w:val="none"/>
                <w:lang w:eastAsia="zh-CN"/>
              </w:rPr>
              <w:t>）</w:t>
            </w:r>
            <w:r>
              <w:rPr>
                <w:rFonts w:hint="eastAsia"/>
                <w:highlight w:val="none"/>
                <w:lang w:eastAsia="zh-CN"/>
              </w:rPr>
              <w:t>天线安装：将天线安装至驻车执行器壳体；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12</w:t>
            </w:r>
            <w:r>
              <w:rPr>
                <w:highlight w:val="none"/>
                <w:lang w:eastAsia="zh-CN"/>
              </w:rPr>
              <w:t>）</w:t>
            </w:r>
            <w:r>
              <w:rPr>
                <w:rFonts w:hint="eastAsia"/>
                <w:highlight w:val="none"/>
                <w:lang w:eastAsia="zh-CN"/>
              </w:rPr>
              <w:t>电机测试：对安装完成的电机进行检测，最多重测2次，合格品进入下一工序，产生不合格品S1-2；</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13</w:t>
            </w:r>
            <w:r>
              <w:rPr>
                <w:highlight w:val="none"/>
                <w:lang w:eastAsia="zh-CN"/>
              </w:rPr>
              <w:t>）</w:t>
            </w:r>
            <w:r>
              <w:rPr>
                <w:rFonts w:hint="eastAsia"/>
                <w:highlight w:val="none"/>
                <w:lang w:eastAsia="zh-CN"/>
              </w:rPr>
              <w:t>上盖与壳体安装：将PCBA安装至上盖，激光焊接后</w:t>
            </w:r>
            <w:r>
              <w:rPr>
                <w:highlight w:val="none"/>
                <w:lang w:eastAsia="zh-CN"/>
              </w:rPr>
              <w:t>，</w:t>
            </w:r>
            <w:r>
              <w:rPr>
                <w:rFonts w:hint="eastAsia"/>
                <w:highlight w:val="none"/>
                <w:lang w:eastAsia="zh-CN"/>
              </w:rPr>
              <w:t>将上盖与壳体安装，产生少量焊接烟尘G1-2；</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w:t>
            </w:r>
            <w:r>
              <w:rPr>
                <w:rFonts w:hint="eastAsia"/>
                <w:highlight w:val="none"/>
                <w:lang w:eastAsia="zh-CN"/>
              </w:rPr>
              <w:t>14</w:t>
            </w:r>
            <w:r>
              <w:rPr>
                <w:highlight w:val="none"/>
                <w:lang w:eastAsia="zh-CN"/>
              </w:rPr>
              <w:t>）</w:t>
            </w:r>
            <w:r>
              <w:rPr>
                <w:rFonts w:hint="eastAsia"/>
                <w:highlight w:val="none"/>
                <w:lang w:eastAsia="zh-CN"/>
              </w:rPr>
              <w:t>激光焊接：将上盖与壳体安装后的组件进行激光焊接，</w:t>
            </w:r>
            <w:r>
              <w:rPr>
                <w:highlight w:val="none"/>
                <w:lang w:eastAsia="zh-CN"/>
              </w:rPr>
              <w:t>本工序不使用焊料，焊接面积很小</w:t>
            </w:r>
            <w:r>
              <w:rPr>
                <w:rFonts w:hint="eastAsia"/>
                <w:highlight w:val="none"/>
                <w:lang w:eastAsia="zh-CN"/>
              </w:rPr>
              <w:t>，仅产生少量焊接烟尘G1-3；</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（15）测试：将安装完成后的组件进行气密测试和EOL测试，最多重测2次，合格品进入下一工序，产生不合格品S1-3；</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（16）客户二维码激光打刻：测试合格的组件进行客户二维码激光打刻；</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（17）O型圈安装：将O型圈安装至驻车执行器壳体；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（18）检查：将安装后的驻车执行器经过相机检查、软件下载和人工检查后进入下一工序，该产生不合格品S1-4；</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（19）打包：将驻车执行器进行打包。</w:t>
            </w:r>
          </w:p>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highlight w:val="none"/>
                <w:lang w:eastAsia="zh-CN"/>
              </w:rPr>
            </w:pPr>
            <w:r>
              <w:rPr>
                <w:rFonts w:hint="eastAsia"/>
                <w:b/>
                <w:bCs/>
                <w:highlight w:val="none"/>
                <w:lang w:eastAsia="zh-CN"/>
              </w:rPr>
              <w:t>2、其他产污环节分析：</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①驻车执行器装配线的每道工序都有小概率产生残次品即不合格品（S1-5）；</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②金属零部件在使用时会产生废包装材料（S1-6）；</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③生产设备及辅助设备、环保设备运行过程会产生设备噪声（N）；</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④齿轮润滑和输出轴润滑时会产生废润滑</w:t>
            </w:r>
            <w:r>
              <w:rPr>
                <w:rFonts w:hint="eastAsia"/>
                <w:highlight w:val="none"/>
                <w:lang w:val="en-US" w:eastAsia="zh-CN"/>
              </w:rPr>
              <w:t>脂</w:t>
            </w:r>
            <w:r>
              <w:rPr>
                <w:rFonts w:hint="eastAsia"/>
                <w:highlight w:val="none"/>
                <w:lang w:eastAsia="zh-CN"/>
              </w:rPr>
              <w:t>桶（S1-7）；</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⑤设备保养维护过程会产生废润滑油及废润滑油桶（S1-8）；</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⑥员工日常生活会产生生活垃圾（S1-9）和生活污水（W1-1）；</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ascii="宋体" w:hAnsi="宋体"/>
                <w:highlight w:val="none"/>
                <w:lang w:eastAsia="zh-CN"/>
              </w:rPr>
              <w:t>⑦食堂餐饮会产生食堂油烟</w:t>
            </w:r>
            <w:r>
              <w:rPr>
                <w:rFonts w:cs="Times New Roman"/>
                <w:highlight w:val="none"/>
                <w:lang w:eastAsia="zh-CN"/>
              </w:rPr>
              <w:t>（G1-2）</w:t>
            </w:r>
            <w:r>
              <w:rPr>
                <w:rFonts w:hint="eastAsia" w:cs="Times New Roman"/>
                <w:highlight w:val="none"/>
                <w:lang w:eastAsia="zh-CN"/>
              </w:rPr>
              <w:t>、</w:t>
            </w:r>
            <w:r>
              <w:rPr>
                <w:rFonts w:cs="Times New Roman"/>
                <w:highlight w:val="none"/>
                <w:lang w:eastAsia="zh-CN"/>
              </w:rPr>
              <w:t>餐饮废水（</w:t>
            </w:r>
            <w:r>
              <w:rPr>
                <w:rFonts w:hint="eastAsia" w:cs="Times New Roman"/>
                <w:highlight w:val="none"/>
                <w:lang w:eastAsia="zh-CN"/>
              </w:rPr>
              <w:t>W1-2</w:t>
            </w:r>
            <w:r>
              <w:rPr>
                <w:rFonts w:cs="Times New Roman"/>
                <w:highlight w:val="none"/>
                <w:lang w:eastAsia="zh-CN"/>
              </w:rPr>
              <w:t>）</w:t>
            </w:r>
            <w:r>
              <w:rPr>
                <w:rFonts w:hint="eastAsia" w:cs="Times New Roman"/>
                <w:highlight w:val="none"/>
                <w:lang w:eastAsia="zh-CN"/>
              </w:rPr>
              <w:t>、</w:t>
            </w:r>
            <w:r>
              <w:rPr>
                <w:rFonts w:cs="Times New Roman"/>
                <w:highlight w:val="none"/>
                <w:lang w:eastAsia="zh-CN"/>
              </w:rPr>
              <w:t>餐饮垃圾（</w:t>
            </w:r>
            <w:r>
              <w:rPr>
                <w:rFonts w:hint="eastAsia" w:cs="Times New Roman"/>
                <w:highlight w:val="none"/>
                <w:lang w:eastAsia="zh-CN"/>
              </w:rPr>
              <w:t>S1-10</w:t>
            </w:r>
            <w:r>
              <w:rPr>
                <w:rFonts w:cs="Times New Roman"/>
                <w:highlight w:val="none"/>
                <w:lang w:eastAsia="zh-CN"/>
              </w:rPr>
              <w:t>）</w:t>
            </w:r>
            <w:r>
              <w:rPr>
                <w:rFonts w:hint="eastAsia" w:cs="Times New Roman"/>
                <w:highlight w:val="none"/>
                <w:lang w:eastAsia="zh-CN"/>
              </w:rPr>
              <w:t>和废油脂（S1-11）</w:t>
            </w:r>
            <w:r>
              <w:rPr>
                <w:rFonts w:hint="eastAsia"/>
                <w:highlight w:val="none"/>
                <w:lang w:eastAsia="zh-CN"/>
              </w:rPr>
              <w:t>。</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rFonts w:hint="eastAsia"/>
                <w:highlight w:val="none"/>
                <w:lang w:eastAsia="zh-CN"/>
              </w:rPr>
              <w:t>表 2-8  项目主要产污环节一览表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3"/>
              <w:gridCol w:w="850"/>
              <w:gridCol w:w="1750"/>
              <w:gridCol w:w="2300"/>
              <w:gridCol w:w="2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693"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时段</w:t>
                  </w:r>
                </w:p>
              </w:tc>
              <w:tc>
                <w:tcPr>
                  <w:tcW w:w="8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类别</w:t>
                  </w:r>
                </w:p>
              </w:tc>
              <w:tc>
                <w:tcPr>
                  <w:tcW w:w="17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污染源/产污节点</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主要污染物</w:t>
                  </w:r>
                </w:p>
              </w:tc>
              <w:tc>
                <w:tcPr>
                  <w:tcW w:w="22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治理措施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运营期</w:t>
                  </w:r>
                </w:p>
              </w:tc>
              <w:tc>
                <w:tcPr>
                  <w:tcW w:w="85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废气</w:t>
                  </w:r>
                </w:p>
              </w:tc>
              <w:tc>
                <w:tcPr>
                  <w:tcW w:w="17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lang w:eastAsia="en-US"/>
                    </w:rPr>
                    <w:t>焊接烟尘</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颗粒物</w:t>
                  </w:r>
                </w:p>
              </w:tc>
              <w:tc>
                <w:tcPr>
                  <w:tcW w:w="22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焊接烟尘经自带净化除尘系统处理后无组织排放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7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食堂油烟</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油烟</w:t>
                  </w:r>
                </w:p>
              </w:tc>
              <w:tc>
                <w:tcPr>
                  <w:tcW w:w="22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食堂油烟经油烟净化系统处理后达标排放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5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废水</w:t>
                  </w:r>
                </w:p>
              </w:tc>
              <w:tc>
                <w:tcPr>
                  <w:tcW w:w="17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生活污水</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pH、COD、BOD</w:t>
                  </w:r>
                  <w:r>
                    <w:rPr>
                      <w:rFonts w:hint="eastAsia"/>
                      <w:highlight w:val="none"/>
                      <w:vertAlign w:val="subscript"/>
                      <w:lang w:eastAsia="en-US"/>
                    </w:rPr>
                    <w:t>5</w:t>
                  </w:r>
                  <w:r>
                    <w:rPr>
                      <w:rFonts w:hint="eastAsia"/>
                      <w:highlight w:val="none"/>
                      <w:lang w:eastAsia="en-US"/>
                    </w:rPr>
                    <w:t>、SS、NH</w:t>
                  </w:r>
                  <w:r>
                    <w:rPr>
                      <w:rFonts w:hint="eastAsia"/>
                      <w:highlight w:val="none"/>
                      <w:vertAlign w:val="subscript"/>
                      <w:lang w:eastAsia="en-US"/>
                    </w:rPr>
                    <w:t>3</w:t>
                  </w:r>
                  <w:r>
                    <w:rPr>
                      <w:rFonts w:hint="eastAsia"/>
                      <w:highlight w:val="none"/>
                      <w:lang w:eastAsia="en-US"/>
                    </w:rPr>
                    <w:t>-N、TP、TN</w:t>
                  </w:r>
                </w:p>
              </w:tc>
              <w:tc>
                <w:tcPr>
                  <w:tcW w:w="22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化粪池预处理后排入市政污水管网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7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餐饮废水</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lang w:eastAsia="en-US"/>
                    </w:rPr>
                    <w:t>pH、COD、BOD</w:t>
                  </w:r>
                  <w:r>
                    <w:rPr>
                      <w:rFonts w:hint="eastAsia"/>
                      <w:highlight w:val="none"/>
                      <w:vertAlign w:val="subscript"/>
                      <w:lang w:eastAsia="en-US"/>
                    </w:rPr>
                    <w:t>5</w:t>
                  </w:r>
                  <w:r>
                    <w:rPr>
                      <w:rFonts w:hint="eastAsia"/>
                      <w:highlight w:val="none"/>
                      <w:lang w:eastAsia="en-US"/>
                    </w:rPr>
                    <w:t>、SS、NH</w:t>
                  </w:r>
                  <w:r>
                    <w:rPr>
                      <w:rFonts w:hint="eastAsia"/>
                      <w:highlight w:val="none"/>
                      <w:vertAlign w:val="subscript"/>
                      <w:lang w:eastAsia="en-US"/>
                    </w:rPr>
                    <w:t>3</w:t>
                  </w:r>
                  <w:r>
                    <w:rPr>
                      <w:rFonts w:hint="eastAsia"/>
                      <w:highlight w:val="none"/>
                      <w:lang w:eastAsia="en-US"/>
                    </w:rPr>
                    <w:t>-N、TP、TN</w:t>
                  </w:r>
                  <w:r>
                    <w:rPr>
                      <w:rFonts w:hint="eastAsia"/>
                      <w:highlight w:val="none"/>
                    </w:rPr>
                    <w:t>、动植物油</w:t>
                  </w:r>
                </w:p>
              </w:tc>
              <w:tc>
                <w:tcPr>
                  <w:tcW w:w="224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油水分离器+化粪池预处理后排入市政污水管网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5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固废</w:t>
                  </w:r>
                </w:p>
              </w:tc>
              <w:tc>
                <w:tcPr>
                  <w:tcW w:w="175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生产过程</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不合格品</w:t>
                  </w:r>
                </w:p>
              </w:tc>
              <w:tc>
                <w:tcPr>
                  <w:tcW w:w="2247"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由物资单位回收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废包装</w:t>
                  </w:r>
                  <w:r>
                    <w:rPr>
                      <w:rFonts w:hint="eastAsia"/>
                      <w:highlight w:val="none"/>
                    </w:rPr>
                    <w:t>材料</w:t>
                  </w:r>
                </w:p>
              </w:tc>
              <w:tc>
                <w:tcPr>
                  <w:tcW w:w="224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废润滑</w:t>
                  </w:r>
                  <w:r>
                    <w:rPr>
                      <w:rFonts w:hint="eastAsia"/>
                      <w:highlight w:val="none"/>
                      <w:lang w:val="en-US" w:eastAsia="zh-CN"/>
                    </w:rPr>
                    <w:t>脂</w:t>
                  </w:r>
                  <w:r>
                    <w:rPr>
                      <w:rFonts w:hint="eastAsia"/>
                      <w:highlight w:val="none"/>
                    </w:rPr>
                    <w:t>桶</w:t>
                  </w:r>
                </w:p>
              </w:tc>
              <w:tc>
                <w:tcPr>
                  <w:tcW w:w="2247"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委托有资质单位处置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5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机械维修及保养</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废润滑油</w:t>
                  </w:r>
                </w:p>
              </w:tc>
              <w:tc>
                <w:tcPr>
                  <w:tcW w:w="224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lang w:eastAsia="en-US"/>
                    </w:rPr>
                    <w:t>废润滑油桶</w:t>
                  </w:r>
                </w:p>
              </w:tc>
              <w:tc>
                <w:tcPr>
                  <w:tcW w:w="224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含油抹布</w:t>
                  </w:r>
                </w:p>
              </w:tc>
              <w:tc>
                <w:tcPr>
                  <w:tcW w:w="2247"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由环卫部门统一清运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焊接烟尘处理</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eastAsia="en-US"/>
                    </w:rPr>
                    <w:t>除尘滤纸</w:t>
                  </w:r>
                </w:p>
              </w:tc>
              <w:tc>
                <w:tcPr>
                  <w:tcW w:w="224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5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员工生活</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生活垃圾</w:t>
                  </w:r>
                </w:p>
              </w:tc>
              <w:tc>
                <w:tcPr>
                  <w:tcW w:w="224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餐饮</w:t>
                  </w:r>
                  <w:r>
                    <w:rPr>
                      <w:rFonts w:hint="eastAsia"/>
                      <w:highlight w:val="none"/>
                    </w:rPr>
                    <w:t>垃圾</w:t>
                  </w:r>
                </w:p>
              </w:tc>
              <w:tc>
                <w:tcPr>
                  <w:tcW w:w="2247"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rPr>
                    <w:t>资源单位收集处置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85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7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油水分离器</w:t>
                  </w:r>
                </w:p>
              </w:tc>
              <w:tc>
                <w:tcPr>
                  <w:tcW w:w="230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废油脂</w:t>
                  </w:r>
                </w:p>
              </w:tc>
              <w:tc>
                <w:tcPr>
                  <w:tcW w:w="224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bl>
          <w:p>
            <w:pPr>
              <w:pStyle w:val="8"/>
              <w:keepNext w:val="0"/>
              <w:keepLines w:val="0"/>
              <w:pageBreakBefore w:val="0"/>
              <w:kinsoku/>
              <w:wordWrap/>
              <w:overflowPunct w:val="0"/>
              <w:topLinePunct w:val="0"/>
              <w:autoSpaceDE w:val="0"/>
              <w:autoSpaceDN w:val="0"/>
              <w:bidi w:val="0"/>
              <w:adjustRightInd w:val="0"/>
              <w:snapToGrid w:val="0"/>
              <w:ind w:firstLine="0" w:firstLineChars="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1892" w:hRule="atLeast"/>
        </w:trPr>
        <w:tc>
          <w:tcPr>
            <w:tcW w:w="831" w:type="dxa"/>
            <w:tcBorders>
              <w:right w:val="single" w:color="000000" w:sz="2" w:space="0"/>
            </w:tcBorders>
            <w:vAlign w:val="center"/>
          </w:tcPr>
          <w:p>
            <w:pPr>
              <w:keepNext w:val="0"/>
              <w:keepLines w:val="0"/>
              <w:pageBreakBefore w:val="0"/>
              <w:kinsoku/>
              <w:wordWrap/>
              <w:overflowPunct w:val="0"/>
              <w:topLinePunct w:val="0"/>
              <w:autoSpaceDE w:val="0"/>
              <w:autoSpaceDN w:val="0"/>
              <w:bidi w:val="0"/>
              <w:adjustRightInd w:val="0"/>
              <w:snapToGrid w:val="0"/>
              <w:jc w:val="center"/>
              <w:textAlignment w:val="baseline"/>
              <w:rPr>
                <w:highlight w:val="none"/>
                <w:lang w:eastAsia="zh-CN"/>
              </w:rPr>
            </w:pPr>
            <w:r>
              <w:rPr>
                <w:rFonts w:hint="eastAsia"/>
                <w:highlight w:val="none"/>
                <w:lang w:eastAsia="zh-CN"/>
              </w:rPr>
              <w:t>与项目有关的原有环境污染问题</w:t>
            </w:r>
          </w:p>
        </w:tc>
        <w:tc>
          <w:tcPr>
            <w:tcW w:w="8157" w:type="dxa"/>
            <w:tcBorders>
              <w:left w:val="single" w:color="000000" w:sz="2" w:space="0"/>
            </w:tcBorders>
          </w:tcPr>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highlight w:val="none"/>
                <w:lang w:eastAsia="zh-CN"/>
              </w:rPr>
            </w:pPr>
            <w:r>
              <w:rPr>
                <w:rFonts w:hint="eastAsia"/>
                <w:b/>
                <w:bCs/>
                <w:highlight w:val="none"/>
                <w:lang w:eastAsia="zh-CN"/>
              </w:rPr>
              <w:t>1、厂区环评、环保验收等手续履行情况：</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企业现有《马瑞利动力系统（合肥）有限公司研发生产基地建设项目环境影响报告表》2017年12月29日取得合肥市生态环境局高新技术产业开发局分局环评审批，审批文号：环高审〔2017〕153号；</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2019年4月23日，企业对《马瑞利动力系统（合肥）有限公司研发生产基地建设项目》进行了阶段性验收工作，验收范围为年产50万只高压油泵、250万只低压喷油嘴、300万只汽车电子节气门总成、50万只摩托车气门总成、100万只进气歧管、30万只供油轨总成及配套的公辅设施（目前该项目100万只进气歧管已经停产，设备已拆除）；</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2019年9月10日，《马瑞利动力系统（合肥）有限公司年产220万件高压喷嘴项目环境影响报告表》取得合肥市生态环境局高新技术产业开发局分局环评审批，审批文号：环高审〔2019〕076号（目前该项目已经停产，设备已全部拆除）。</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2021年08月26日取得固定污染源排污登记回执，登记编号： 91340100MA2NW26G0F001U；</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2022年6月16日取得应急预案备案，备案编号：340171-2022-038L；</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2023年4月27日，企业对《马瑞利动力系统（合肥）有限公司年产220万件高压喷嘴项目》进行了竣工环保自主验收。（目前该项目已经停产，设备已全部拆除）。</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2025年3月20日，《马瑞利动力系统(合肥)有限公司年产36000套机械式自动变速器执行器项目环境影响报告表》取得</w:t>
            </w:r>
            <w:r>
              <w:rPr>
                <w:rFonts w:hint="eastAsia"/>
                <w:color w:val="auto"/>
                <w:highlight w:val="none"/>
                <w:lang w:eastAsia="zh-CN"/>
              </w:rPr>
              <w:t>合肥市生态环境局环评</w:t>
            </w:r>
            <w:r>
              <w:rPr>
                <w:rFonts w:hint="eastAsia"/>
                <w:highlight w:val="none"/>
                <w:lang w:eastAsia="zh-CN"/>
              </w:rPr>
              <w:t>审批，审批文号：环建审〔2025〕10015号。</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2025年07月03日取得固定污染源排污登记回执，登记编号： 91340100MA2NW26G0F001U；</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eastAsia"/>
                <w:highlight w:val="none"/>
                <w:lang w:eastAsia="zh-CN"/>
              </w:rPr>
            </w:pPr>
            <w:r>
              <w:rPr>
                <w:rFonts w:hint="eastAsia"/>
                <w:highlight w:val="none"/>
                <w:lang w:eastAsia="zh-CN"/>
              </w:rPr>
              <w:t>2025年5月14日马瑞利动力系统（合肥）有限公司完成了突发环境事件应急预案备案，备案编号：340171-2025-028L；</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default"/>
                <w:highlight w:val="none"/>
                <w:lang w:val="en-US" w:eastAsia="zh-CN"/>
              </w:rPr>
            </w:pPr>
            <w:r>
              <w:rPr>
                <w:rFonts w:hint="eastAsia"/>
                <w:highlight w:val="none"/>
                <w:lang w:val="en-US" w:eastAsia="zh-CN"/>
              </w:rPr>
              <w:t>2025年6月9日，企业对《马瑞利动力系统（合肥）有限公司研发生产基地建设项目》进行了竣工环保自主验收，验收范围为：已建成年产50万只高压油泵及配套的公辅设施；</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2025年</w:t>
            </w:r>
            <w:r>
              <w:rPr>
                <w:rFonts w:hint="eastAsia"/>
                <w:color w:val="auto"/>
                <w:highlight w:val="none"/>
                <w:lang w:eastAsia="zh-CN"/>
              </w:rPr>
              <w:t>8月20日，</w:t>
            </w:r>
            <w:r>
              <w:rPr>
                <w:rFonts w:hint="eastAsia"/>
                <w:highlight w:val="none"/>
                <w:lang w:eastAsia="zh-CN"/>
              </w:rPr>
              <w:t>企业对《马瑞利动力系统(合肥)有限公司年产36000套机械式自动变速器执行器项目》进行了竣工环保自主验收。</w:t>
            </w:r>
          </w:p>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rFonts w:hint="eastAsia"/>
                <w:b/>
                <w:bCs/>
                <w:highlight w:val="none"/>
                <w:lang w:eastAsia="zh-CN"/>
              </w:rPr>
              <w:t>2、产品方案</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（1）现有项目产品</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表 2-</w:t>
            </w:r>
            <w:r>
              <w:rPr>
                <w:rFonts w:hint="eastAsia"/>
                <w:highlight w:val="none"/>
                <w:lang w:eastAsia="zh-CN"/>
              </w:rPr>
              <w:t>9</w:t>
            </w:r>
            <w:r>
              <w:rPr>
                <w:highlight w:val="none"/>
                <w:lang w:eastAsia="zh-CN"/>
              </w:rPr>
              <w:t xml:space="preserve">  项目产品方案及生产规模</w:t>
            </w:r>
          </w:p>
          <w:tbl>
            <w:tblPr>
              <w:tblStyle w:val="21"/>
              <w:tblW w:w="7938" w:type="dxa"/>
              <w:tblInd w:w="93"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0" w:type="dxa"/>
                <w:bottom w:w="0" w:type="dxa"/>
                <w:right w:w="0" w:type="dxa"/>
              </w:tblCellMar>
            </w:tblPr>
            <w:tblGrid>
              <w:gridCol w:w="1116"/>
              <w:gridCol w:w="3110"/>
              <w:gridCol w:w="1662"/>
              <w:gridCol w:w="205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27" w:hRule="atLeast"/>
              </w:trPr>
              <w:tc>
                <w:tcPr>
                  <w:tcW w:w="4226" w:type="dxa"/>
                  <w:gridSpan w:val="2"/>
                  <w:tcBorders>
                    <w:left w:val="single" w:color="000000" w:sz="2" w:space="0"/>
                    <w:bottom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产品名称</w:t>
                  </w:r>
                </w:p>
              </w:tc>
              <w:tc>
                <w:tcPr>
                  <w:tcW w:w="1662" w:type="dxa"/>
                  <w:tcBorders>
                    <w:bottom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现有项目年产量</w:t>
                  </w:r>
                </w:p>
              </w:tc>
              <w:tc>
                <w:tcPr>
                  <w:tcW w:w="2050" w:type="dxa"/>
                  <w:tcBorders>
                    <w:bottom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单位</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3" w:hRule="atLeast"/>
              </w:trPr>
              <w:tc>
                <w:tcPr>
                  <w:tcW w:w="4226" w:type="dxa"/>
                  <w:gridSpan w:val="2"/>
                  <w:tcBorders>
                    <w:top w:val="single" w:color="000000" w:sz="2" w:space="0"/>
                    <w:left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高压油泵</w:t>
                  </w:r>
                </w:p>
              </w:tc>
              <w:tc>
                <w:tcPr>
                  <w:tcW w:w="1662" w:type="dxa"/>
                  <w:tcBorders>
                    <w:top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rFonts w:hint="eastAsia"/>
                      <w:highlight w:val="none"/>
                      <w:lang w:val="en-US" w:eastAsia="zh-CN"/>
                    </w:rPr>
                    <w:t>10</w:t>
                  </w:r>
                  <w:r>
                    <w:rPr>
                      <w:highlight w:val="none"/>
                      <w:lang w:eastAsia="en-US"/>
                    </w:rPr>
                    <w:t>0万</w:t>
                  </w:r>
                </w:p>
              </w:tc>
              <w:tc>
                <w:tcPr>
                  <w:tcW w:w="2050" w:type="dxa"/>
                  <w:tcBorders>
                    <w:top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件</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9" w:hRule="atLeast"/>
              </w:trPr>
              <w:tc>
                <w:tcPr>
                  <w:tcW w:w="4226" w:type="dxa"/>
                  <w:gridSpan w:val="2"/>
                  <w:tcBorders>
                    <w:left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低压喷嘴</w:t>
                  </w:r>
                </w:p>
              </w:tc>
              <w:tc>
                <w:tcPr>
                  <w:tcW w:w="166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250万</w:t>
                  </w:r>
                </w:p>
              </w:tc>
              <w:tc>
                <w:tcPr>
                  <w:tcW w:w="20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件</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6" w:hRule="atLeast"/>
              </w:trPr>
              <w:tc>
                <w:tcPr>
                  <w:tcW w:w="1116" w:type="dxa"/>
                  <w:vMerge w:val="restart"/>
                  <w:tcBorders>
                    <w:left w:val="single" w:color="000000" w:sz="2" w:space="0"/>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节气</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门总成</w:t>
                  </w:r>
                </w:p>
              </w:tc>
              <w:tc>
                <w:tcPr>
                  <w:tcW w:w="311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汽车电子节气门总成</w:t>
                  </w:r>
                </w:p>
              </w:tc>
              <w:tc>
                <w:tcPr>
                  <w:tcW w:w="1662" w:type="dxa"/>
                  <w:tcBorders>
                    <w:bottom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300万</w:t>
                  </w:r>
                </w:p>
              </w:tc>
              <w:tc>
                <w:tcPr>
                  <w:tcW w:w="2050" w:type="dxa"/>
                  <w:tcBorders>
                    <w:bottom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件</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7" w:hRule="atLeast"/>
              </w:trPr>
              <w:tc>
                <w:tcPr>
                  <w:tcW w:w="1116" w:type="dxa"/>
                  <w:vMerge w:val="continue"/>
                  <w:tcBorders>
                    <w:top w:val="nil"/>
                    <w:left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311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摩托车节气门总成</w:t>
                  </w:r>
                </w:p>
              </w:tc>
              <w:tc>
                <w:tcPr>
                  <w:tcW w:w="1662" w:type="dxa"/>
                  <w:tcBorders>
                    <w:top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50万</w:t>
                  </w:r>
                </w:p>
              </w:tc>
              <w:tc>
                <w:tcPr>
                  <w:tcW w:w="2050" w:type="dxa"/>
                  <w:tcBorders>
                    <w:top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件</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85" w:hRule="atLeast"/>
              </w:trPr>
              <w:tc>
                <w:tcPr>
                  <w:tcW w:w="4226" w:type="dxa"/>
                  <w:gridSpan w:val="2"/>
                  <w:tcBorders>
                    <w:left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油轨总成</w:t>
                  </w:r>
                </w:p>
              </w:tc>
              <w:tc>
                <w:tcPr>
                  <w:tcW w:w="166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30万</w:t>
                  </w:r>
                </w:p>
              </w:tc>
              <w:tc>
                <w:tcPr>
                  <w:tcW w:w="20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lang w:eastAsia="en-US"/>
                    </w:rPr>
                    <w:t>件</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4" w:hRule="atLeast"/>
              </w:trPr>
              <w:tc>
                <w:tcPr>
                  <w:tcW w:w="4226" w:type="dxa"/>
                  <w:gridSpan w:val="2"/>
                  <w:tcBorders>
                    <w:left w:val="single" w:color="000000" w:sz="2" w:space="0"/>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机械式自动变速器执行器</w:t>
                  </w:r>
                </w:p>
              </w:tc>
              <w:tc>
                <w:tcPr>
                  <w:tcW w:w="166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36000</w:t>
                  </w:r>
                </w:p>
              </w:tc>
              <w:tc>
                <w:tcPr>
                  <w:tcW w:w="205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套</w:t>
                  </w:r>
                </w:p>
              </w:tc>
            </w:tr>
          </w:tbl>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（2）现有项目工艺流程</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val="en-US" w:eastAsia="zh-CN"/>
              </w:rPr>
              <w:t>1</w:t>
            </w:r>
            <w:r>
              <w:rPr>
                <w:rFonts w:hint="eastAsia"/>
                <w:highlight w:val="none"/>
                <w:lang w:eastAsia="zh-CN"/>
              </w:rPr>
              <w:t>）</w:t>
            </w:r>
            <w:r>
              <w:rPr>
                <w:rFonts w:hint="eastAsia"/>
                <w:highlight w:val="none"/>
                <w:lang w:val="en-US" w:eastAsia="zh-CN"/>
              </w:rPr>
              <w:t>低压</w:t>
            </w:r>
            <w:r>
              <w:rPr>
                <w:rFonts w:hint="eastAsia"/>
                <w:highlight w:val="none"/>
                <w:lang w:eastAsia="zh-CN"/>
              </w:rPr>
              <w:t>喷油嘴生产工艺</w:t>
            </w:r>
          </w:p>
          <w:p>
            <w:pPr>
              <w:pStyle w:val="8"/>
              <w:keepNext w:val="0"/>
              <w:keepLines w:val="0"/>
              <w:pageBreakBefore w:val="0"/>
              <w:kinsoku/>
              <w:wordWrap/>
              <w:overflowPunct w:val="0"/>
              <w:topLinePunct w:val="0"/>
              <w:autoSpaceDE w:val="0"/>
              <w:autoSpaceDN w:val="0"/>
              <w:bidi w:val="0"/>
              <w:adjustRightInd w:val="0"/>
              <w:snapToGrid w:val="0"/>
              <w:ind w:firstLine="0" w:firstLineChars="0"/>
              <w:textAlignment w:val="baseline"/>
              <w:rPr>
                <w:highlight w:val="none"/>
                <w:lang w:eastAsia="zh-CN"/>
              </w:rPr>
            </w:pPr>
            <w:r>
              <w:rPr>
                <w:highlight w:val="none"/>
              </w:rPr>
              <w:drawing>
                <wp:inline distT="0" distB="0" distL="114300" distR="114300">
                  <wp:extent cx="5166995" cy="1066165"/>
                  <wp:effectExtent l="0" t="0" r="14605" b="635"/>
                  <wp:docPr id="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9"/>
                          <pic:cNvPicPr>
                            <a:picLocks noChangeAspect="1"/>
                          </pic:cNvPicPr>
                        </pic:nvPicPr>
                        <pic:blipFill>
                          <a:blip r:embed="rId22"/>
                          <a:stretch>
                            <a:fillRect/>
                          </a:stretch>
                        </pic:blipFill>
                        <pic:spPr>
                          <a:xfrm>
                            <a:off x="0" y="0"/>
                            <a:ext cx="5166995" cy="1066165"/>
                          </a:xfrm>
                          <a:prstGeom prst="rect">
                            <a:avLst/>
                          </a:prstGeom>
                          <a:noFill/>
                          <a:ln>
                            <a:noFill/>
                          </a:ln>
                        </pic:spPr>
                      </pic:pic>
                    </a:graphicData>
                  </a:graphic>
                </wp:inline>
              </w:drawing>
            </w:r>
          </w:p>
          <w:p>
            <w:pPr>
              <w:pStyle w:val="17"/>
              <w:keepNext w:val="0"/>
              <w:keepLines w:val="0"/>
              <w:pageBreakBefore w:val="0"/>
              <w:kinsoku/>
              <w:wordWrap/>
              <w:overflowPunct w:val="0"/>
              <w:topLinePunct w:val="0"/>
              <w:autoSpaceDE w:val="0"/>
              <w:autoSpaceDN w:val="0"/>
              <w:bidi w:val="0"/>
              <w:adjustRightInd w:val="0"/>
              <w:snapToGrid w:val="0"/>
              <w:jc w:val="left"/>
              <w:textAlignment w:val="baseline"/>
              <w:rPr>
                <w:highlight w:val="none"/>
              </w:rPr>
            </w:pPr>
            <w:r>
              <w:rPr>
                <w:rFonts w:hint="eastAsia"/>
                <w:highlight w:val="none"/>
              </w:rPr>
              <w:t>图例：G2-焊接烟尘；N-噪声；W2-清洗废水；S2-含油滤渣，S3-喷油嘴不合格产品，S4-废测试液。</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rFonts w:hint="eastAsia"/>
                <w:highlight w:val="none"/>
                <w:lang w:eastAsia="zh-CN"/>
              </w:rPr>
              <w:t>图2-</w:t>
            </w:r>
            <w:r>
              <w:rPr>
                <w:rFonts w:hint="eastAsia"/>
                <w:highlight w:val="none"/>
                <w:lang w:val="en-US" w:eastAsia="zh-CN"/>
              </w:rPr>
              <w:t>5</w:t>
            </w:r>
            <w:r>
              <w:rPr>
                <w:rFonts w:hint="eastAsia"/>
                <w:highlight w:val="none"/>
                <w:lang w:eastAsia="zh-CN"/>
              </w:rPr>
              <w:t xml:space="preserve"> </w:t>
            </w:r>
            <w:r>
              <w:rPr>
                <w:rFonts w:hint="eastAsia"/>
                <w:highlight w:val="none"/>
                <w:lang w:val="en-US" w:eastAsia="zh-CN"/>
              </w:rPr>
              <w:t>低压</w:t>
            </w:r>
            <w:r>
              <w:rPr>
                <w:rFonts w:hint="eastAsia"/>
                <w:highlight w:val="none"/>
                <w:lang w:eastAsia="zh-CN"/>
              </w:rPr>
              <w:t>喷油嘴生产工艺</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喷油嘴生产工艺流程：</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①磨床加工：利用磨床根据设计尺寸进行阀芯磨削；此磨削采用油式湿式加工，产生的粉尘以含油磨削滤渣（S2）形式通过过滤方式收集并作为危废进行处置，此外加工过程中会产生机械噪声（N）；</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②清洗：对磨床加工的零部件进行清洗，此工段利用清洗机分别进行60℃自来水清洗、清洗液（青烽NO.119）清洗、高压清洗和纯水清洗；此过程会产生清洗废水（W2）（自来水和清洗液清洗为每月排放一次，每次排放约5t；高压清洗和纯水清洗每两天排放一次，每次排放1t，年排放约243t）。</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③装配：清洗后的零部件进行装配，装配的主要过程为：</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磁极插入托盘—磁极上安装密封圈—润滑密封圈—装配线圈—线圈上装配密封圈—装配本体—加紧本体与线圈固定—检测本体深度夹紧—装配阀芯—放置阀座在盘上—阀座上装配密封圈—阀座定位—阀座装入本体—夹紧阀座固定本体—磁极定位—焊接磁极与本体—装配密封圈—装配弹簧与弹簧调节杆。</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此过程焊接采用激光焊接技术，会产生极少量的焊接烟尘（G2）以及装配产生的噪声（N）。</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④测试：装配好的产品进入检测线通过测试液进行检测；此过程中会产生不合格品（S3），返回前段工序重新加工处理，废测试液（S4）作为危废进行处置；</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Style w:val="19"/>
                <w:highlight w:val="none"/>
                <w:lang w:eastAsia="zh-CN"/>
              </w:rPr>
              <w:t>⑤包装入库：激光打码，包装入库。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val="en-US" w:eastAsia="zh-CN"/>
              </w:rPr>
              <w:t>2</w:t>
            </w:r>
            <w:r>
              <w:rPr>
                <w:rFonts w:hint="eastAsia"/>
                <w:highlight w:val="none"/>
                <w:lang w:eastAsia="zh-CN"/>
              </w:rPr>
              <w:t>）节气门阀体生产工艺</w:t>
            </w:r>
          </w:p>
          <w:p>
            <w:pPr>
              <w:pStyle w:val="8"/>
              <w:keepNext w:val="0"/>
              <w:keepLines w:val="0"/>
              <w:pageBreakBefore w:val="0"/>
              <w:kinsoku/>
              <w:wordWrap/>
              <w:overflowPunct w:val="0"/>
              <w:topLinePunct w:val="0"/>
              <w:autoSpaceDE w:val="0"/>
              <w:autoSpaceDN w:val="0"/>
              <w:bidi w:val="0"/>
              <w:adjustRightInd w:val="0"/>
              <w:snapToGrid w:val="0"/>
              <w:ind w:firstLine="0" w:firstLineChars="0"/>
              <w:textAlignment w:val="baseline"/>
              <w:rPr>
                <w:highlight w:val="none"/>
                <w:lang w:eastAsia="zh-CN"/>
              </w:rPr>
            </w:pPr>
            <w:r>
              <w:rPr>
                <w:highlight w:val="none"/>
              </w:rPr>
              <w:drawing>
                <wp:inline distT="0" distB="0" distL="114300" distR="114300">
                  <wp:extent cx="5170170" cy="1062990"/>
                  <wp:effectExtent l="0" t="0" r="11430" b="3810"/>
                  <wp:docPr id="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pic:cNvPicPr>
                            <a:picLocks noChangeAspect="1"/>
                          </pic:cNvPicPr>
                        </pic:nvPicPr>
                        <pic:blipFill>
                          <a:blip r:embed="rId23"/>
                          <a:stretch>
                            <a:fillRect/>
                          </a:stretch>
                        </pic:blipFill>
                        <pic:spPr>
                          <a:xfrm>
                            <a:off x="0" y="0"/>
                            <a:ext cx="5170170" cy="1062990"/>
                          </a:xfrm>
                          <a:prstGeom prst="rect">
                            <a:avLst/>
                          </a:prstGeom>
                          <a:noFill/>
                          <a:ln>
                            <a:noFill/>
                          </a:ln>
                        </pic:spPr>
                      </pic:pic>
                    </a:graphicData>
                  </a:graphic>
                </wp:inline>
              </w:drawing>
            </w:r>
          </w:p>
          <w:p>
            <w:pPr>
              <w:pStyle w:val="17"/>
              <w:keepNext w:val="0"/>
              <w:keepLines w:val="0"/>
              <w:pageBreakBefore w:val="0"/>
              <w:kinsoku/>
              <w:wordWrap/>
              <w:overflowPunct w:val="0"/>
              <w:topLinePunct w:val="0"/>
              <w:autoSpaceDE w:val="0"/>
              <w:autoSpaceDN w:val="0"/>
              <w:bidi w:val="0"/>
              <w:adjustRightInd w:val="0"/>
              <w:snapToGrid w:val="0"/>
              <w:jc w:val="left"/>
              <w:textAlignment w:val="baseline"/>
              <w:rPr>
                <w:highlight w:val="none"/>
              </w:rPr>
            </w:pPr>
            <w:r>
              <w:rPr>
                <w:rFonts w:hint="eastAsia"/>
                <w:highlight w:val="none"/>
              </w:rPr>
              <w:t>图例： N-噪声；S5-废切削液，W3-废清洗液，S6-节气门阀体不合格产品。</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rFonts w:hint="eastAsia"/>
                <w:highlight w:val="none"/>
                <w:lang w:eastAsia="zh-CN"/>
              </w:rPr>
              <w:t>图2-</w:t>
            </w:r>
            <w:r>
              <w:rPr>
                <w:rFonts w:hint="eastAsia"/>
                <w:highlight w:val="none"/>
                <w:lang w:val="en-US" w:eastAsia="zh-CN"/>
              </w:rPr>
              <w:t>6</w:t>
            </w:r>
            <w:r>
              <w:rPr>
                <w:rFonts w:hint="eastAsia"/>
                <w:highlight w:val="none"/>
                <w:lang w:eastAsia="zh-CN"/>
              </w:rPr>
              <w:t xml:space="preserve"> 节气门阀体生产工艺</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节气门阀体生产工艺流程：</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①金属切削：对铝合金压铸件按照工艺要求和设计尺寸完成切削；切削过程使用切削液（米勒斯-CL1399、尤希路-EZ22WR），主要用于冷却刀具和润滑防锈，切削液循环使用，大约半年全部更换。此过程产生的废切削液（S5）作为危险废物处置以及切削过程产生的机械噪声（N）；</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②清洗：切削件通过清洗液（SC898）和自来水进行清洗，主要用于清洗加工环节铝合金工件表面的切削液，清洗液循环使用，每周更换一次；此过程产生的废清洗液（W3）（共三台清洗机，每台每周排放一次约 1.5t，全年共排放约 234t）；</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③组装、测试：清洗过后的半成品进行组装并进入检测线进行气压检测；此过程中会产生不合格品（S6），返回前段工序重新加工处理以及组装过程产生的噪声（N）；</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④包装入库：清洗过后产品包装入库。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val="en-US" w:eastAsia="zh-CN"/>
              </w:rPr>
              <w:t>3</w:t>
            </w:r>
            <w:r>
              <w:rPr>
                <w:rFonts w:hint="eastAsia"/>
                <w:highlight w:val="none"/>
                <w:lang w:eastAsia="zh-CN"/>
              </w:rPr>
              <w:t>）高压油泵生产工艺</w:t>
            </w:r>
          </w:p>
          <w:p>
            <w:pPr>
              <w:pStyle w:val="8"/>
              <w:keepNext w:val="0"/>
              <w:keepLines w:val="0"/>
              <w:pageBreakBefore w:val="0"/>
              <w:kinsoku/>
              <w:wordWrap/>
              <w:overflowPunct w:val="0"/>
              <w:topLinePunct w:val="0"/>
              <w:autoSpaceDE w:val="0"/>
              <w:autoSpaceDN w:val="0"/>
              <w:bidi w:val="0"/>
              <w:adjustRightInd w:val="0"/>
              <w:snapToGrid w:val="0"/>
              <w:ind w:firstLine="0" w:firstLineChars="0"/>
              <w:textAlignment w:val="baseline"/>
              <w:rPr>
                <w:highlight w:val="none"/>
                <w:lang w:eastAsia="zh-CN"/>
              </w:rPr>
            </w:pPr>
            <w:r>
              <w:rPr>
                <w:highlight w:val="none"/>
              </w:rPr>
              <w:drawing>
                <wp:inline distT="0" distB="0" distL="114300" distR="114300">
                  <wp:extent cx="5172710" cy="1353185"/>
                  <wp:effectExtent l="0" t="0" r="8890" b="18415"/>
                  <wp:docPr id="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pic:cNvPicPr>
                            <a:picLocks noChangeAspect="1"/>
                          </pic:cNvPicPr>
                        </pic:nvPicPr>
                        <pic:blipFill>
                          <a:blip r:embed="rId24"/>
                          <a:stretch>
                            <a:fillRect/>
                          </a:stretch>
                        </pic:blipFill>
                        <pic:spPr>
                          <a:xfrm>
                            <a:off x="0" y="0"/>
                            <a:ext cx="5172710" cy="1353185"/>
                          </a:xfrm>
                          <a:prstGeom prst="rect">
                            <a:avLst/>
                          </a:prstGeom>
                          <a:noFill/>
                          <a:ln>
                            <a:noFill/>
                          </a:ln>
                        </pic:spPr>
                      </pic:pic>
                    </a:graphicData>
                  </a:graphic>
                </wp:inline>
              </w:drawing>
            </w:r>
          </w:p>
          <w:p>
            <w:pPr>
              <w:pStyle w:val="17"/>
              <w:keepNext w:val="0"/>
              <w:keepLines w:val="0"/>
              <w:pageBreakBefore w:val="0"/>
              <w:kinsoku/>
              <w:wordWrap/>
              <w:overflowPunct w:val="0"/>
              <w:topLinePunct w:val="0"/>
              <w:autoSpaceDE w:val="0"/>
              <w:autoSpaceDN w:val="0"/>
              <w:bidi w:val="0"/>
              <w:adjustRightInd w:val="0"/>
              <w:snapToGrid w:val="0"/>
              <w:jc w:val="left"/>
              <w:textAlignment w:val="baseline"/>
              <w:rPr>
                <w:highlight w:val="none"/>
              </w:rPr>
            </w:pPr>
            <w:r>
              <w:rPr>
                <w:rFonts w:hint="eastAsia"/>
                <w:highlight w:val="none"/>
              </w:rPr>
              <w:t>图例：G3-焊接烟尘；N-噪声；W4-清洗废水；S7-半成品不合格品，S8-含油滤渣，S9-高压油泵不合格品，S10-废测试液。</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rFonts w:hint="eastAsia"/>
                <w:highlight w:val="none"/>
                <w:lang w:eastAsia="zh-CN"/>
              </w:rPr>
              <w:t>图2-</w:t>
            </w:r>
            <w:r>
              <w:rPr>
                <w:rFonts w:hint="eastAsia"/>
                <w:highlight w:val="none"/>
                <w:lang w:val="en-US" w:eastAsia="zh-CN"/>
              </w:rPr>
              <w:t>7</w:t>
            </w:r>
            <w:r>
              <w:rPr>
                <w:rFonts w:hint="eastAsia"/>
                <w:highlight w:val="none"/>
                <w:lang w:eastAsia="zh-CN"/>
              </w:rPr>
              <w:t xml:space="preserve"> 高压油泵生产工艺</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高压油泵生产工艺流程：</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①子组件装配、磨床加工：根据油泵的设计要求，购置油泵配件，分别进行子组件装配和磨床加工；磨床加工也采用油式湿式加工，含油磨削滤渣（S8）作为危废进行处置，半成品不合格品（S7）返回工段重新进行加工处理，此外加工和装配过程中会产生机械噪声（N）；</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②清洗：磨床加工和子组件装配后的材料通过清洗机进行清洗（6</w:t>
            </w:r>
            <w:r>
              <w:rPr>
                <w:rFonts w:hint="default" w:ascii="Times New Roman" w:hAnsi="Times New Roman" w:cs="Times New Roman"/>
                <w:highlight w:val="none"/>
                <w:lang w:eastAsia="zh-CN"/>
              </w:rPr>
              <w:t>0℃</w:t>
            </w:r>
            <w:r>
              <w:rPr>
                <w:rFonts w:hint="eastAsia"/>
                <w:highlight w:val="none"/>
                <w:lang w:eastAsia="zh-CN"/>
              </w:rPr>
              <w:t>条件下分别进行自来水、清洗液（BASIC WASH）、自来水、超声波和纯水进行清洗），此过程会产生清洗废水（W4）（每周排放一次约4.5t，全年共排放约234t）；</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③装配总成：清洗过后的子组件进行总成的装配，装配过程中主要包括子组件之间的激光焊接、压装和扩螺栓过程；过程中会产生装配噪声（N）和少量的焊接烟尘（G3）；</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④测试：装配总成后的半成品通过测试液进行测试；此过程会产生不合格的半成品（S9），返回前段生产工序重新加工处理，测试产生的废测试液（S10）作为危废进行处置；</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⑤包装入库：性能检测合成的产品进行包装入库。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eastAsia"/>
                <w:highlight w:val="none"/>
                <w:lang w:eastAsia="zh-CN"/>
              </w:rPr>
            </w:pPr>
            <w:r>
              <w:rPr>
                <w:rFonts w:hint="eastAsia"/>
                <w:highlight w:val="none"/>
                <w:lang w:val="en-US" w:eastAsia="zh-CN"/>
              </w:rPr>
              <w:t>4</w:t>
            </w:r>
            <w:r>
              <w:rPr>
                <w:rFonts w:hint="eastAsia"/>
                <w:highlight w:val="none"/>
                <w:lang w:eastAsia="zh-CN"/>
              </w:rPr>
              <w:t>）供油轨总成生产工艺</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eastAsia"/>
                <w:highlight w:val="none"/>
                <w:lang w:eastAsia="zh-CN"/>
              </w:rPr>
            </w:pPr>
          </w:p>
          <w:p>
            <w:pPr>
              <w:pStyle w:val="8"/>
              <w:keepNext w:val="0"/>
              <w:keepLines w:val="0"/>
              <w:pageBreakBefore w:val="0"/>
              <w:kinsoku/>
              <w:wordWrap/>
              <w:overflowPunct w:val="0"/>
              <w:topLinePunct w:val="0"/>
              <w:autoSpaceDE w:val="0"/>
              <w:autoSpaceDN w:val="0"/>
              <w:bidi w:val="0"/>
              <w:adjustRightInd w:val="0"/>
              <w:snapToGrid w:val="0"/>
              <w:ind w:firstLine="0" w:firstLineChars="0"/>
              <w:textAlignment w:val="baseline"/>
              <w:rPr>
                <w:highlight w:val="none"/>
                <w:lang w:eastAsia="zh-CN"/>
              </w:rPr>
            </w:pPr>
            <w:r>
              <w:rPr>
                <w:highlight w:val="none"/>
              </w:rPr>
              <w:drawing>
                <wp:inline distT="0" distB="0" distL="114300" distR="114300">
                  <wp:extent cx="5168900" cy="1599565"/>
                  <wp:effectExtent l="0" t="0" r="12700" b="635"/>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pic:cNvPicPr>
                        </pic:nvPicPr>
                        <pic:blipFill>
                          <a:blip r:embed="rId25"/>
                          <a:stretch>
                            <a:fillRect/>
                          </a:stretch>
                        </pic:blipFill>
                        <pic:spPr>
                          <a:xfrm>
                            <a:off x="0" y="0"/>
                            <a:ext cx="5168900" cy="1599565"/>
                          </a:xfrm>
                          <a:prstGeom prst="rect">
                            <a:avLst/>
                          </a:prstGeom>
                          <a:noFill/>
                          <a:ln>
                            <a:noFill/>
                          </a:ln>
                        </pic:spPr>
                      </pic:pic>
                    </a:graphicData>
                  </a:graphic>
                </wp:inline>
              </w:drawing>
            </w:r>
          </w:p>
          <w:p>
            <w:pPr>
              <w:pStyle w:val="17"/>
              <w:keepNext w:val="0"/>
              <w:keepLines w:val="0"/>
              <w:pageBreakBefore w:val="0"/>
              <w:kinsoku/>
              <w:wordWrap/>
              <w:overflowPunct w:val="0"/>
              <w:topLinePunct w:val="0"/>
              <w:autoSpaceDE w:val="0"/>
              <w:autoSpaceDN w:val="0"/>
              <w:bidi w:val="0"/>
              <w:adjustRightInd w:val="0"/>
              <w:snapToGrid w:val="0"/>
              <w:jc w:val="left"/>
              <w:textAlignment w:val="baseline"/>
              <w:rPr>
                <w:highlight w:val="none"/>
              </w:rPr>
            </w:pPr>
            <w:r>
              <w:rPr>
                <w:rFonts w:hint="eastAsia"/>
                <w:highlight w:val="none"/>
              </w:rPr>
              <w:t>图例：N-噪声；S11-喷油嘴不合格产品。</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rFonts w:hint="eastAsia"/>
                <w:highlight w:val="none"/>
                <w:lang w:eastAsia="zh-CN"/>
              </w:rPr>
              <w:t>图2-</w:t>
            </w:r>
            <w:r>
              <w:rPr>
                <w:rFonts w:hint="eastAsia"/>
                <w:highlight w:val="none"/>
                <w:lang w:val="en-US" w:eastAsia="zh-CN"/>
              </w:rPr>
              <w:t>8</w:t>
            </w:r>
            <w:r>
              <w:rPr>
                <w:rFonts w:hint="eastAsia"/>
                <w:highlight w:val="none"/>
                <w:lang w:eastAsia="zh-CN"/>
              </w:rPr>
              <w:t xml:space="preserve"> 供油轨总成生产工艺</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供油轨总成生产工艺流程：</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①按压安装：购置的油管、卡夹、喷嘴等原材料通过传感器按压安装；此过程会产生噪声（N）；</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②测试：安装后的半成品进入检测线通过氦气进行检测；此过程中会产生不合格品（S11），返回前段工序重新加工处理；</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③包装入库：性能检测合成的产品进行包装入库。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val="en-US" w:eastAsia="zh-CN"/>
              </w:rPr>
              <w:t>5</w:t>
            </w:r>
            <w:r>
              <w:rPr>
                <w:rFonts w:hint="eastAsia"/>
                <w:highlight w:val="none"/>
                <w:lang w:eastAsia="zh-CN"/>
              </w:rPr>
              <w:t>）机械式自动变速器执行器生产工艺</w:t>
            </w:r>
          </w:p>
          <w:p>
            <w:pPr>
              <w:pStyle w:val="8"/>
              <w:keepNext w:val="0"/>
              <w:keepLines w:val="0"/>
              <w:pageBreakBefore w:val="0"/>
              <w:kinsoku/>
              <w:wordWrap/>
              <w:overflowPunct w:val="0"/>
              <w:topLinePunct w:val="0"/>
              <w:autoSpaceDE w:val="0"/>
              <w:autoSpaceDN w:val="0"/>
              <w:bidi w:val="0"/>
              <w:adjustRightInd w:val="0"/>
              <w:snapToGrid w:val="0"/>
              <w:ind w:firstLine="0" w:firstLineChars="0"/>
              <w:textAlignment w:val="baseline"/>
              <w:rPr>
                <w:highlight w:val="none"/>
                <w:lang w:eastAsia="zh-CN"/>
              </w:rPr>
            </w:pPr>
            <w:r>
              <w:rPr>
                <w:highlight w:val="none"/>
              </w:rPr>
              <w:drawing>
                <wp:inline distT="0" distB="0" distL="114300" distR="114300">
                  <wp:extent cx="5169535" cy="6278245"/>
                  <wp:effectExtent l="0" t="0" r="12065" b="8255"/>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26"/>
                          <a:stretch>
                            <a:fillRect/>
                          </a:stretch>
                        </pic:blipFill>
                        <pic:spPr>
                          <a:xfrm>
                            <a:off x="0" y="0"/>
                            <a:ext cx="5169535" cy="6278245"/>
                          </a:xfrm>
                          <a:prstGeom prst="rect">
                            <a:avLst/>
                          </a:prstGeom>
                          <a:noFill/>
                          <a:ln>
                            <a:noFill/>
                          </a:ln>
                        </pic:spPr>
                      </pic:pic>
                    </a:graphicData>
                  </a:graphic>
                </wp:inline>
              </w:drawing>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图</w:t>
            </w:r>
            <w:r>
              <w:rPr>
                <w:rFonts w:hint="eastAsia"/>
                <w:highlight w:val="none"/>
                <w:lang w:eastAsia="zh-CN"/>
              </w:rPr>
              <w:t>2-</w:t>
            </w:r>
            <w:r>
              <w:rPr>
                <w:rFonts w:hint="eastAsia"/>
                <w:highlight w:val="none"/>
                <w:lang w:val="en-US" w:eastAsia="zh-CN"/>
              </w:rPr>
              <w:t>9</w:t>
            </w:r>
            <w:r>
              <w:rPr>
                <w:highlight w:val="none"/>
                <w:lang w:eastAsia="zh-CN"/>
              </w:rPr>
              <w:t xml:space="preserve"> 机械式自动变速器执行器生产工艺流程图</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工艺流程及产物节点简述：</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①PU装配线</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A、高压清洗、烘干</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将法兰、活塞、螺杆等金属件采用高压清洗机进行清洗表面污垢，清洗液采用切削、消磨浓缩液，清洗液在使用过程中与水配比，切削、消磨浓缩液：水比例为5:95。</w:t>
            </w:r>
            <w:r>
              <w:rPr>
                <w:rFonts w:cs="Times New Roman"/>
                <w:highlight w:val="none"/>
                <w:lang w:eastAsia="zh-CN"/>
              </w:rPr>
              <w:t>清洗液</w:t>
            </w:r>
            <w:r>
              <w:rPr>
                <w:rFonts w:hint="eastAsia"/>
                <w:highlight w:val="none"/>
                <w:lang w:eastAsia="zh-CN"/>
              </w:rPr>
              <w:t>每月更换一次，此过程会产生有机废气（G4）、废清洗液（W5）；</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B、电化学去毛刺</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电解液采用硝酸钠，项目购置的硝酸钠固体，需要配置成20%的硝酸钠溶液，采用纯水进行配置，纯水制备过程会产生纯水制备浓水（W6）。浓硝酸在加入电化学池中会产生极少量硝酸雾（G5）、电解液4个月更换一次，废电解液（W7）</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C、清洗1、烘干</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电化学去毛刺后的金属件采用超声波清洗机清洗，清洗液1在使用过程中与水配比，清洗液1：水比例为5:95。清洗液每月更换一次，此过程会产生清洗废气（G6）、清洗废水（W7）。</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D、PU分总成装配</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OP分装出油管、OP20挂挡轴装配+装配至VG、OP30装配选速活塞+销子+堵头、装配溢流阀、OP40装配电磁阀及支架、OP45装配传感器及支架、OP50装配TCU。</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E、PU分总成测试</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密封性测试，使用压缩空气进行测试，测试是否有气体泄漏。</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②VG装配线</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A、清洗2、烘干</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将油箱、油箱隔膜、弹性过滤器等金属架采用爱阔特清洗机进行清洗表面污垢，清洗液在使用过程中与水配比，清洗液2：水比例为5:95，清洗完成后烘干。由于清洗液2使用量小，乙醇胺含量低，故产生的废气量极少。清洗液每三月更换一次，此过程会产生清洗废气（G7）、清洗废水（W8）；</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B、VG分总成测试</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通电测试机械动作是否卡滞，该过程不产生污染物。</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③KIT总成装配</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C、4代KIT总成装配</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OP10&amp;20装配油管及支架至VG、OP30&amp;40连接油管至PU，装配支架和线束。</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D、5代KIT总成装配</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OP10堵头压装、OP15选挡轴组件装配、OP20挂挡轴组件预装、OP25电磁阀滤网预装（QPV&amp;PPV）、OP30挂挡轴及电磁阀组件装配（终拧）、OP40油压传感器、呼吸阀及低压管接头装配、OP60离合器组件预装、OP70选/挂挡轴传感器和高/低压管接头装配。</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4代与5代产品根据客户需要进行调整，共计为36000套。</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④注液压油</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将变速器固定在注油工位，将注油嘴与变速器油口对接，启动注油机，按设定量注入进口液压油。</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⑤KIT总成功能测试</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注油完成后在测试设备中测试整套总成的机械动作，传感器等零部件均处于可正常运行的状态。</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⑥清洁度测试</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其中抽检部分产品进行清洁度测试，清洁度测试在实验室内进行，金属零部件清洁度测试使用AP760测试液或D40测试液，将金属零部件放入测试液中浸泡，浸泡完成后，将浸泡的液体通过滤膜充分过滤，金属表面的杂质被收集在经过干燥的滤膜表面，将滤膜再次干燥，称量出过滤清洗前后干燥的滤膜质量，计算其增加值，即为试样品上的杂质的质量，从而完成洁净度测试。测试完成金属零部件采用人工用棉布蘸取无水乙醇进行擦拭。该过程会产生乙醇擦拭废气（G8）、含酒精棉布（S12）、测试废气（G9）、废测试液（S13）。</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⑦注荧光剂</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采用自动添加设备按比例将荧光剂加入到产品的液压油中，启动油液循环系统，使荧光剂充分混合；检测采用紫外灯照射油液，荧光剂会发出荧光，便于观察流动或泄露。</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⑧粘贴标签&amp;线终检查</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粘贴相应的标签实现产品的可追溯性，在生产线最终端进行有无泄漏，外观磕碰损伤，油污残留等方面的人工检查。</w:t>
            </w:r>
          </w:p>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rFonts w:hint="eastAsia"/>
                <w:b/>
                <w:bCs/>
                <w:highlight w:val="none"/>
                <w:lang w:eastAsia="zh-CN"/>
              </w:rPr>
              <w:t>3、根据项目现有情况，污染源排放情况如下：</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highlight w:val="none"/>
                <w:lang w:eastAsia="zh-CN"/>
              </w:rPr>
              <w:t>（1）废水</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现有</w:t>
            </w:r>
            <w:r>
              <w:rPr>
                <w:highlight w:val="none"/>
                <w:lang w:eastAsia="zh-CN"/>
              </w:rPr>
              <w:t>项目外排废水主要是食堂的餐饮废水、生活污水、保洁废水、纯水制备废水、循环冷却废水、清洗废水。</w:t>
            </w:r>
            <w:r>
              <w:rPr>
                <w:rFonts w:hint="eastAsia"/>
                <w:highlight w:val="none"/>
                <w:lang w:eastAsia="zh-CN"/>
              </w:rPr>
              <w:t>现有项目水平衡图见图2-2。</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eastAsia" w:ascii="宋体" w:hAnsi="宋体"/>
                <w:highlight w:val="none"/>
                <w:lang w:eastAsia="zh-CN"/>
              </w:rPr>
            </w:pPr>
            <w:r>
              <w:rPr>
                <w:highlight w:val="none"/>
                <w:lang w:eastAsia="zh-CN"/>
              </w:rPr>
              <w:t>根据《</w:t>
            </w:r>
            <w:r>
              <w:rPr>
                <w:rFonts w:hint="eastAsia"/>
                <w:color w:val="auto"/>
                <w:highlight w:val="none"/>
                <w:lang w:eastAsia="zh-CN"/>
              </w:rPr>
              <w:t>马瑞利动力系统(合肥)有限公司年产36000套机械式自动变速器执行器项目竣工环境保护验收检测项目</w:t>
            </w:r>
            <w:r>
              <w:rPr>
                <w:highlight w:val="none"/>
                <w:lang w:eastAsia="zh-CN"/>
              </w:rPr>
              <w:t>》废水监测数据可知，详见下表。</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表 2-</w:t>
            </w:r>
            <w:r>
              <w:rPr>
                <w:rFonts w:hint="eastAsia"/>
                <w:highlight w:val="none"/>
                <w:lang w:eastAsia="zh-CN"/>
              </w:rPr>
              <w:t>10</w:t>
            </w:r>
            <w:r>
              <w:rPr>
                <w:highlight w:val="none"/>
                <w:lang w:eastAsia="zh-CN"/>
              </w:rPr>
              <w:t xml:space="preserve">  废水检测结果统计表</w:t>
            </w:r>
          </w:p>
          <w:tbl>
            <w:tblPr>
              <w:tblStyle w:val="21"/>
              <w:tblW w:w="7879" w:type="dxa"/>
              <w:tblInd w:w="15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590"/>
              <w:gridCol w:w="1027"/>
              <w:gridCol w:w="687"/>
              <w:gridCol w:w="687"/>
              <w:gridCol w:w="686"/>
              <w:gridCol w:w="687"/>
              <w:gridCol w:w="764"/>
              <w:gridCol w:w="612"/>
              <w:gridCol w:w="686"/>
              <w:gridCol w:w="784"/>
              <w:gridCol w:w="66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 w:hRule="atLeast"/>
              </w:trPr>
              <w:tc>
                <w:tcPr>
                  <w:tcW w:w="590"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采样点</w:t>
                  </w:r>
                </w:p>
              </w:tc>
              <w:tc>
                <w:tcPr>
                  <w:tcW w:w="1027"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采样日期</w:t>
                  </w:r>
                </w:p>
              </w:tc>
              <w:tc>
                <w:tcPr>
                  <w:tcW w:w="6262" w:type="dxa"/>
                  <w:gridSpan w:val="9"/>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检测项目</w:t>
                  </w:r>
                  <w:r>
                    <w:rPr>
                      <w:rFonts w:hint="eastAsia"/>
                      <w:highlight w:val="none"/>
                    </w:rPr>
                    <w:t>（mg/L）</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6" w:hRule="atLeast"/>
              </w:trPr>
              <w:tc>
                <w:tcPr>
                  <w:tcW w:w="590"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pH（无量纲）</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COD</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BOD</w:t>
                  </w:r>
                  <w:r>
                    <w:rPr>
                      <w:highlight w:val="none"/>
                      <w:vertAlign w:val="subscript"/>
                    </w:rPr>
                    <w:t>5</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SS</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NH</w:t>
                  </w:r>
                  <w:r>
                    <w:rPr>
                      <w:highlight w:val="none"/>
                      <w:vertAlign w:val="subscript"/>
                    </w:rPr>
                    <w:t>3</w:t>
                  </w:r>
                  <w:r>
                    <w:rPr>
                      <w:highlight w:val="none"/>
                    </w:rPr>
                    <w:t>-N</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总氮</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总磷</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石油类</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color w:val="000000" w:themeColor="text1"/>
                      <w:highlight w:val="none"/>
                      <w14:textFill>
                        <w14:solidFill>
                          <w14:schemeClr w14:val="tx1"/>
                        </w14:solidFill>
                      </w14:textFill>
                    </w:rPr>
                    <w:t>LA</w:t>
                  </w:r>
                  <w:r>
                    <w:rPr>
                      <w:rFonts w:hint="eastAsia"/>
                      <w:highlight w:val="none"/>
                    </w:rPr>
                    <w:t>S</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 w:hRule="atLeast"/>
              </w:trPr>
              <w:tc>
                <w:tcPr>
                  <w:tcW w:w="59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污水总排口</w:t>
                  </w:r>
                </w:p>
              </w:tc>
              <w:tc>
                <w:tcPr>
                  <w:tcW w:w="1027"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202</w:t>
                  </w:r>
                  <w:r>
                    <w:rPr>
                      <w:rFonts w:hint="eastAsia"/>
                      <w:highlight w:val="none"/>
                    </w:rPr>
                    <w:t>5</w:t>
                  </w:r>
                  <w:r>
                    <w:rPr>
                      <w:highlight w:val="none"/>
                    </w:rPr>
                    <w:t>年</w:t>
                  </w:r>
                  <w:r>
                    <w:rPr>
                      <w:rFonts w:hint="eastAsia"/>
                      <w:highlight w:val="none"/>
                    </w:rPr>
                    <w:t>7</w:t>
                  </w:r>
                  <w:r>
                    <w:rPr>
                      <w:highlight w:val="none"/>
                    </w:rPr>
                    <w:t>月</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w:t>
                  </w:r>
                  <w:r>
                    <w:rPr>
                      <w:rFonts w:hint="eastAsia"/>
                      <w:highlight w:val="none"/>
                    </w:rPr>
                    <w:t>5</w:t>
                  </w:r>
                  <w:r>
                    <w:rPr>
                      <w:highlight w:val="none"/>
                    </w:rPr>
                    <w:t>日</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6.6</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343</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80.9</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39</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32.0</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42.6</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5.80</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0.24</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2.99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 w:hRule="atLeast"/>
              </w:trPr>
              <w:tc>
                <w:tcPr>
                  <w:tcW w:w="59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6.3</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327</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78.5</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49</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31.4</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35.9</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5.70</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0.24</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3.06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 w:hRule="atLeast"/>
              </w:trPr>
              <w:tc>
                <w:tcPr>
                  <w:tcW w:w="59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6.3</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310</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75.7</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48</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33.4</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36.2</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4.74</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0.26</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3.14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 w:hRule="atLeast"/>
              </w:trPr>
              <w:tc>
                <w:tcPr>
                  <w:tcW w:w="59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6.3</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336</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80.1</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31.4</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30.2</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4.54</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0.13</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2.90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 w:hRule="atLeast"/>
              </w:trPr>
              <w:tc>
                <w:tcPr>
                  <w:tcW w:w="590"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标准值</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6~9</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350</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180</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250</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35</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50</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6</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20</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 w:hRule="atLeast"/>
              </w:trPr>
              <w:tc>
                <w:tcPr>
                  <w:tcW w:w="590"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达标情况</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达标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 w:hRule="atLeast"/>
              </w:trPr>
              <w:tc>
                <w:tcPr>
                  <w:tcW w:w="590"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202</w:t>
                  </w:r>
                  <w:r>
                    <w:rPr>
                      <w:rFonts w:hint="eastAsia"/>
                      <w:highlight w:val="none"/>
                    </w:rPr>
                    <w:t>5</w:t>
                  </w:r>
                  <w:r>
                    <w:rPr>
                      <w:highlight w:val="none"/>
                    </w:rPr>
                    <w:t>年</w:t>
                  </w:r>
                  <w:r>
                    <w:rPr>
                      <w:rFonts w:hint="eastAsia"/>
                      <w:highlight w:val="none"/>
                    </w:rPr>
                    <w:t>7</w:t>
                  </w:r>
                  <w:r>
                    <w:rPr>
                      <w:highlight w:val="none"/>
                    </w:rPr>
                    <w:t>月</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26</w:t>
                  </w:r>
                  <w:r>
                    <w:rPr>
                      <w:highlight w:val="none"/>
                    </w:rPr>
                    <w:t>日</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7.5</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239</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57.1</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22.7</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24.4</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1.45</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0.94</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0.682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 w:hRule="atLeast"/>
              </w:trPr>
              <w:tc>
                <w:tcPr>
                  <w:tcW w:w="590"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7.1</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314</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72.9</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21.1</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22.8</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1.59</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0.56</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0.658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 w:hRule="atLeast"/>
              </w:trPr>
              <w:tc>
                <w:tcPr>
                  <w:tcW w:w="590"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6.8</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335</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82.1</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16</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21.8</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22.8</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2.07</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1.04</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0.647</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3" w:hRule="atLeast"/>
              </w:trPr>
              <w:tc>
                <w:tcPr>
                  <w:tcW w:w="590"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6.9</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298</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72.3</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17</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22.8</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24.4</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1.90</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0.57</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0.629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 w:hRule="atLeast"/>
              </w:trPr>
              <w:tc>
                <w:tcPr>
                  <w:tcW w:w="590"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标准值</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6~9</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350</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180</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250</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35</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50</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6</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20</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4" w:hRule="atLeast"/>
              </w:trPr>
              <w:tc>
                <w:tcPr>
                  <w:tcW w:w="590"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02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达标情况</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8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76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1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8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78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达标</w:t>
                  </w:r>
                </w:p>
              </w:tc>
              <w:tc>
                <w:tcPr>
                  <w:tcW w:w="66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达标</w:t>
                  </w:r>
                </w:p>
              </w:tc>
            </w:tr>
          </w:tbl>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default"/>
                <w:highlight w:val="none"/>
                <w:lang w:val="en-US" w:eastAsia="zh-CN"/>
              </w:rPr>
            </w:pPr>
            <w:r>
              <w:rPr>
                <w:rFonts w:hint="eastAsia"/>
                <w:highlight w:val="none"/>
                <w:lang w:eastAsia="zh-CN"/>
              </w:rPr>
              <w:t>根据监测结果可知，厂区废水总排口中pH、BOD</w:t>
            </w:r>
            <w:r>
              <w:rPr>
                <w:rFonts w:hint="eastAsia"/>
                <w:highlight w:val="none"/>
                <w:vertAlign w:val="subscript"/>
                <w:lang w:eastAsia="zh-CN"/>
              </w:rPr>
              <w:t>5</w:t>
            </w:r>
            <w:r>
              <w:rPr>
                <w:rFonts w:hint="eastAsia"/>
                <w:highlight w:val="none"/>
                <w:lang w:eastAsia="zh-CN"/>
              </w:rPr>
              <w:t>、悬浮物、COD、氨氮、总氮、总磷、LAS等现状监测结果满足《污水综合排放标准》（GB8978-1996）表4中三级标准及西部组团污水处理厂接管标准。</w:t>
            </w:r>
            <w:r>
              <w:rPr>
                <w:rFonts w:hint="eastAsia"/>
                <w:highlight w:val="none"/>
                <w:lang w:val="en-US" w:eastAsia="zh-CN"/>
              </w:rPr>
              <w:t>废水经</w:t>
            </w:r>
            <w:r>
              <w:rPr>
                <w:rFonts w:hint="eastAsia"/>
                <w:highlight w:val="none"/>
                <w:lang w:eastAsia="zh-CN"/>
              </w:rPr>
              <w:t>西部组团污水处理厂</w:t>
            </w:r>
            <w:r>
              <w:rPr>
                <w:rFonts w:hint="eastAsia"/>
                <w:highlight w:val="none"/>
                <w:lang w:val="en-US" w:eastAsia="zh-CN"/>
              </w:rPr>
              <w:t>集中处理后，尾水排放要求为COD 40mg/L；BOD</w:t>
            </w:r>
            <w:r>
              <w:rPr>
                <w:rFonts w:hint="eastAsia"/>
                <w:highlight w:val="none"/>
                <w:vertAlign w:val="subscript"/>
                <w:lang w:val="en-US" w:eastAsia="zh-CN"/>
              </w:rPr>
              <w:t>5</w:t>
            </w:r>
            <w:r>
              <w:rPr>
                <w:rFonts w:hint="eastAsia"/>
                <w:highlight w:val="none"/>
                <w:lang w:val="en-US" w:eastAsia="zh-CN"/>
              </w:rPr>
              <w:t xml:space="preserve"> 10mg/L；SS 10mg/L；NH</w:t>
            </w:r>
            <w:r>
              <w:rPr>
                <w:rFonts w:hint="eastAsia"/>
                <w:highlight w:val="none"/>
                <w:vertAlign w:val="subscript"/>
                <w:lang w:val="en-US" w:eastAsia="zh-CN"/>
              </w:rPr>
              <w:t>3</w:t>
            </w:r>
            <w:r>
              <w:rPr>
                <w:rFonts w:hint="eastAsia"/>
                <w:highlight w:val="none"/>
                <w:lang w:val="en-US" w:eastAsia="zh-CN"/>
              </w:rPr>
              <w:t>-N 2mg/L；TN 0.3mg/L；TP 10mg/L；石油类 1mg/L；LAS 0.5mg/L。根据现有项目水平衡图，废水排放量为13789.83t/a，核算现有污染物排放量为COD 0.5516t/a；BOD</w:t>
            </w:r>
            <w:r>
              <w:rPr>
                <w:rFonts w:hint="eastAsia"/>
                <w:highlight w:val="none"/>
                <w:vertAlign w:val="subscript"/>
                <w:lang w:val="en-US" w:eastAsia="zh-CN"/>
              </w:rPr>
              <w:t>5</w:t>
            </w:r>
            <w:r>
              <w:rPr>
                <w:rFonts w:hint="eastAsia"/>
                <w:highlight w:val="none"/>
                <w:lang w:val="en-US" w:eastAsia="zh-CN"/>
              </w:rPr>
              <w:t xml:space="preserve"> 0.1379t/a；SS 0.1379t/a；NH</w:t>
            </w:r>
            <w:r>
              <w:rPr>
                <w:rFonts w:hint="eastAsia"/>
                <w:highlight w:val="none"/>
                <w:vertAlign w:val="subscript"/>
                <w:lang w:val="en-US" w:eastAsia="zh-CN"/>
              </w:rPr>
              <w:t>3</w:t>
            </w:r>
            <w:r>
              <w:rPr>
                <w:rFonts w:hint="eastAsia"/>
                <w:highlight w:val="none"/>
                <w:lang w:val="en-US" w:eastAsia="zh-CN"/>
              </w:rPr>
              <w:t>-N 0.0276t/a；TN 0.0041t/a；TP 0.1379t/a；石油类 0.0138t/a；LAS 0.0069t/a。</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（2）废气</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节气门生产过程中塑料粒子融化、开模过程中产生的有机废气经一套两级活性炭吸附装置处理后15m高排气筒</w:t>
            </w:r>
            <w:r>
              <w:rPr>
                <w:highlight w:val="none"/>
                <w:lang w:eastAsia="zh-CN"/>
              </w:rPr>
              <w:t>（DA001）</w:t>
            </w:r>
            <w:r>
              <w:rPr>
                <w:rFonts w:hint="eastAsia"/>
                <w:highlight w:val="none"/>
                <w:lang w:eastAsia="zh-CN"/>
              </w:rPr>
              <w:t>排放；焊接烟尘由焊接机系统能够内部自带抽排风系统并经滤纸过滤后无组织排放；测试液使用过程中产生</w:t>
            </w:r>
            <w:r>
              <w:rPr>
                <w:rFonts w:hint="eastAsia"/>
                <w:highlight w:val="none"/>
                <w:lang w:val="en-US" w:eastAsia="zh-CN"/>
              </w:rPr>
              <w:t>的废气</w:t>
            </w:r>
            <w:r>
              <w:rPr>
                <w:rFonts w:hint="eastAsia"/>
                <w:highlight w:val="none"/>
                <w:lang w:eastAsia="zh-CN"/>
              </w:rPr>
              <w:t>采用油雾净化器（喷淋+电离吸附+一级活性炭吸附）处理后分别通过1根15m高排气筒</w:t>
            </w:r>
            <w:r>
              <w:rPr>
                <w:highlight w:val="none"/>
                <w:lang w:eastAsia="zh-CN"/>
              </w:rPr>
              <w:t>（DA002）</w:t>
            </w:r>
            <w:r>
              <w:rPr>
                <w:rFonts w:hint="eastAsia"/>
                <w:highlight w:val="none"/>
                <w:lang w:eastAsia="zh-CN"/>
              </w:rPr>
              <w:t>排放；</w:t>
            </w:r>
            <w:r>
              <w:rPr>
                <w:highlight w:val="none"/>
              </w:rPr>
              <w:t>切削液</w:t>
            </w:r>
            <w:r>
              <w:rPr>
                <w:rFonts w:hint="eastAsia"/>
                <w:highlight w:val="none"/>
                <w:lang w:eastAsia="zh-CN"/>
              </w:rPr>
              <w:t>使用过程中产生</w:t>
            </w:r>
            <w:r>
              <w:rPr>
                <w:rFonts w:hint="eastAsia"/>
                <w:highlight w:val="none"/>
                <w:lang w:val="en-US" w:eastAsia="zh-CN"/>
              </w:rPr>
              <w:t>的废气</w:t>
            </w:r>
            <w:r>
              <w:rPr>
                <w:highlight w:val="none"/>
              </w:rPr>
              <w:t>采用油雾净化器</w:t>
            </w:r>
            <w:r>
              <w:rPr>
                <w:rFonts w:hint="eastAsia"/>
                <w:highlight w:val="none"/>
                <w:lang w:eastAsia="zh-CN"/>
              </w:rPr>
              <w:t>（电离吸附+一级活性炭吸附）</w:t>
            </w:r>
            <w:r>
              <w:rPr>
                <w:rFonts w:hint="eastAsia"/>
                <w:highlight w:val="none"/>
              </w:rPr>
              <w:t>处理后通过15高排气筒（DA003）排放</w:t>
            </w:r>
            <w:r>
              <w:rPr>
                <w:rFonts w:hint="eastAsia"/>
                <w:highlight w:val="none"/>
                <w:lang w:eastAsia="zh-CN"/>
              </w:rPr>
              <w:t>；高压清洗及烘干废气和电化学去毛刺产生的硝酸雾通过空调新风系统排出车间外；测试、乙醇擦拭产生的有机废气经集气罩收集后由二级活性炭处理后通过1根15m高排气筒</w:t>
            </w:r>
            <w:r>
              <w:rPr>
                <w:highlight w:val="none"/>
                <w:lang w:eastAsia="zh-CN"/>
              </w:rPr>
              <w:t>（DA00</w:t>
            </w:r>
            <w:r>
              <w:rPr>
                <w:rFonts w:hint="eastAsia"/>
                <w:highlight w:val="none"/>
                <w:lang w:eastAsia="zh-CN"/>
              </w:rPr>
              <w:t>4</w:t>
            </w:r>
            <w:r>
              <w:rPr>
                <w:highlight w:val="none"/>
                <w:lang w:eastAsia="zh-CN"/>
              </w:rPr>
              <w:t>）</w:t>
            </w:r>
            <w:r>
              <w:rPr>
                <w:rFonts w:hint="eastAsia"/>
                <w:highlight w:val="none"/>
                <w:lang w:eastAsia="zh-CN"/>
              </w:rPr>
              <w:t>排放。</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根据《马瑞利动力系统（合肥）有限公司202</w:t>
            </w:r>
            <w:r>
              <w:rPr>
                <w:rFonts w:hint="eastAsia"/>
                <w:highlight w:val="none"/>
                <w:lang w:val="en-US" w:eastAsia="zh-CN"/>
              </w:rPr>
              <w:t>5</w:t>
            </w:r>
            <w:r>
              <w:rPr>
                <w:rFonts w:hint="eastAsia"/>
                <w:highlight w:val="none"/>
                <w:lang w:eastAsia="zh-CN"/>
              </w:rPr>
              <w:t>年度自行监测》</w:t>
            </w:r>
            <w:r>
              <w:rPr>
                <w:rFonts w:hint="eastAsia"/>
                <w:highlight w:val="none"/>
                <w:lang w:val="en-US" w:eastAsia="zh-CN"/>
              </w:rPr>
              <w:t>中废气</w:t>
            </w:r>
            <w:r>
              <w:rPr>
                <w:rFonts w:hint="eastAsia"/>
                <w:highlight w:val="none"/>
                <w:lang w:eastAsia="zh-CN"/>
              </w:rPr>
              <w:t>监测数据和《</w:t>
            </w:r>
            <w:r>
              <w:rPr>
                <w:rFonts w:hint="eastAsia"/>
                <w:color w:val="auto"/>
                <w:highlight w:val="none"/>
                <w:lang w:eastAsia="zh-CN"/>
              </w:rPr>
              <w:t>马瑞利动力系统(合肥)有限公司年产36000套机械式自动变速器执行器项目竣工环境保护验收检测项目</w:t>
            </w:r>
            <w:r>
              <w:rPr>
                <w:rFonts w:hint="eastAsia"/>
                <w:highlight w:val="none"/>
                <w:lang w:eastAsia="zh-CN"/>
              </w:rPr>
              <w:t>》监测数据如下表所示：</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表 2-1</w:t>
            </w:r>
            <w:r>
              <w:rPr>
                <w:rFonts w:hint="eastAsia"/>
                <w:highlight w:val="none"/>
                <w:lang w:eastAsia="zh-CN"/>
              </w:rPr>
              <w:t>1</w:t>
            </w:r>
            <w:r>
              <w:rPr>
                <w:highlight w:val="none"/>
                <w:lang w:eastAsia="zh-CN"/>
              </w:rPr>
              <w:t xml:space="preserve">  无组织废气检测结果统计表</w:t>
            </w:r>
          </w:p>
          <w:tbl>
            <w:tblPr>
              <w:tblStyle w:val="14"/>
              <w:tblW w:w="495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3"/>
              <w:gridCol w:w="1071"/>
              <w:gridCol w:w="972"/>
              <w:gridCol w:w="972"/>
              <w:gridCol w:w="972"/>
              <w:gridCol w:w="972"/>
              <w:gridCol w:w="1326"/>
              <w:gridCol w:w="5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827" w:type="pct"/>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采样时间</w:t>
                  </w:r>
                </w:p>
              </w:tc>
              <w:tc>
                <w:tcPr>
                  <w:tcW w:w="650" w:type="pct"/>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检测项目</w:t>
                  </w:r>
                </w:p>
              </w:tc>
              <w:tc>
                <w:tcPr>
                  <w:tcW w:w="3164" w:type="pct"/>
                  <w:gridSpan w:val="5"/>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lang w:val="en-US" w:eastAsia="zh-CN"/>
                    </w:rPr>
                  </w:pPr>
                  <w:r>
                    <w:rPr>
                      <w:highlight w:val="none"/>
                    </w:rPr>
                    <w:t>检测浓度（mg/m</w:t>
                  </w:r>
                  <w:r>
                    <w:rPr>
                      <w:highlight w:val="none"/>
                      <w:vertAlign w:val="superscript"/>
                    </w:rPr>
                    <w:t>3</w:t>
                  </w:r>
                  <w:r>
                    <w:rPr>
                      <w:highlight w:val="none"/>
                    </w:rPr>
                    <w:t>）</w:t>
                  </w:r>
                </w:p>
              </w:tc>
              <w:tc>
                <w:tcPr>
                  <w:tcW w:w="358" w:type="pct"/>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val="en-US" w:eastAsia="zh-CN"/>
                    </w:rPr>
                  </w:pPr>
                  <w:r>
                    <w:rPr>
                      <w:rFonts w:hint="eastAsia"/>
                      <w:highlight w:val="none"/>
                      <w:lang w:val="en-US" w:eastAsia="zh-CN"/>
                    </w:rPr>
                    <w:t>风向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27"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0"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上风向1#</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下风向2#</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下风向3#</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下风向4#</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厂房北门外1米</w:t>
                  </w:r>
                </w:p>
              </w:tc>
              <w:tc>
                <w:tcPr>
                  <w:tcW w:w="358"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27" w:type="pct"/>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2025年7月9日</w:t>
                  </w:r>
                </w:p>
              </w:tc>
              <w:tc>
                <w:tcPr>
                  <w:tcW w:w="650" w:type="pct"/>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非甲烷总烃</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1.70</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1.63</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1.49</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1.41</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eastAsia="宋体"/>
                      <w:highlight w:val="none"/>
                      <w:lang w:val="en-US" w:eastAsia="zh-CN"/>
                    </w:rPr>
                  </w:pPr>
                  <w:r>
                    <w:rPr>
                      <w:rFonts w:hint="eastAsia"/>
                      <w:highlight w:val="none"/>
                      <w:lang w:val="en-US" w:eastAsia="zh-CN"/>
                    </w:rPr>
                    <w:t>1.42</w:t>
                  </w:r>
                </w:p>
              </w:tc>
              <w:tc>
                <w:tcPr>
                  <w:tcW w:w="358" w:type="pct"/>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val="en-US" w:eastAsia="zh-CN"/>
                    </w:rPr>
                  </w:pPr>
                  <w:r>
                    <w:rPr>
                      <w:rFonts w:hint="eastAsia"/>
                      <w:highlight w:val="none"/>
                      <w:lang w:val="en-US" w:eastAsia="zh-CN"/>
                    </w:rPr>
                    <w:t>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27"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0"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1.36</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1.50</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1.42</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1.39</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eastAsia="宋体"/>
                      <w:highlight w:val="none"/>
                      <w:lang w:val="en-US" w:eastAsia="zh-CN"/>
                    </w:rPr>
                  </w:pPr>
                  <w:r>
                    <w:rPr>
                      <w:rFonts w:hint="eastAsia"/>
                      <w:highlight w:val="none"/>
                      <w:lang w:val="en-US" w:eastAsia="zh-CN"/>
                    </w:rPr>
                    <w:t>1.60</w:t>
                  </w:r>
                </w:p>
              </w:tc>
              <w:tc>
                <w:tcPr>
                  <w:tcW w:w="358"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27"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0"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1.62</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1.58</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1.24</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1.22</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eastAsia="宋体"/>
                      <w:highlight w:val="none"/>
                      <w:lang w:val="en-US" w:eastAsia="zh-CN"/>
                    </w:rPr>
                  </w:pPr>
                  <w:r>
                    <w:rPr>
                      <w:rFonts w:hint="eastAsia"/>
                      <w:highlight w:val="none"/>
                      <w:lang w:val="en-US" w:eastAsia="zh-CN"/>
                    </w:rPr>
                    <w:t>1.27</w:t>
                  </w:r>
                </w:p>
              </w:tc>
              <w:tc>
                <w:tcPr>
                  <w:tcW w:w="358"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27"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0"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1.24</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1.20</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1.20</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1.12</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eastAsia="宋体"/>
                      <w:highlight w:val="none"/>
                      <w:lang w:val="en-US" w:eastAsia="zh-CN"/>
                    </w:rPr>
                  </w:pPr>
                  <w:r>
                    <w:rPr>
                      <w:rFonts w:hint="eastAsia"/>
                      <w:highlight w:val="none"/>
                      <w:lang w:val="en-US" w:eastAsia="zh-CN"/>
                    </w:rPr>
                    <w:t>1.14</w:t>
                  </w:r>
                </w:p>
              </w:tc>
              <w:tc>
                <w:tcPr>
                  <w:tcW w:w="358"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27" w:type="pct"/>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2025年7月10日</w:t>
                  </w:r>
                </w:p>
              </w:tc>
              <w:tc>
                <w:tcPr>
                  <w:tcW w:w="650"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1.10</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1.09</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1.02</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1.26</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eastAsia="宋体"/>
                      <w:highlight w:val="none"/>
                      <w:lang w:val="en-US" w:eastAsia="zh-CN"/>
                    </w:rPr>
                  </w:pPr>
                  <w:r>
                    <w:rPr>
                      <w:rFonts w:hint="eastAsia"/>
                      <w:highlight w:val="none"/>
                      <w:lang w:val="en-US" w:eastAsia="zh-CN"/>
                    </w:rPr>
                    <w:t>1.28</w:t>
                  </w:r>
                </w:p>
              </w:tc>
              <w:tc>
                <w:tcPr>
                  <w:tcW w:w="358"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27"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0"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1.91</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1.22</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1.32</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1.12</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eastAsia="宋体"/>
                      <w:highlight w:val="none"/>
                      <w:lang w:val="en-US" w:eastAsia="zh-CN"/>
                    </w:rPr>
                  </w:pPr>
                  <w:r>
                    <w:rPr>
                      <w:rFonts w:hint="eastAsia"/>
                      <w:highlight w:val="none"/>
                      <w:lang w:val="en-US" w:eastAsia="zh-CN"/>
                    </w:rPr>
                    <w:t>1.22</w:t>
                  </w:r>
                </w:p>
              </w:tc>
              <w:tc>
                <w:tcPr>
                  <w:tcW w:w="358"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27"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0"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1.09</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1.08</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1.04</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1.04</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eastAsia="宋体"/>
                      <w:highlight w:val="none"/>
                      <w:lang w:val="en-US" w:eastAsia="zh-CN"/>
                    </w:rPr>
                  </w:pPr>
                  <w:r>
                    <w:rPr>
                      <w:rFonts w:hint="eastAsia"/>
                      <w:highlight w:val="none"/>
                      <w:lang w:val="en-US" w:eastAsia="zh-CN"/>
                    </w:rPr>
                    <w:t>1.25</w:t>
                  </w:r>
                </w:p>
              </w:tc>
              <w:tc>
                <w:tcPr>
                  <w:tcW w:w="358"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827"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0"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1.27</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1.25</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1.29</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1.26</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eastAsia="宋体"/>
                      <w:highlight w:val="none"/>
                      <w:lang w:val="en-US" w:eastAsia="zh-CN"/>
                    </w:rPr>
                  </w:pPr>
                  <w:r>
                    <w:rPr>
                      <w:rFonts w:hint="eastAsia"/>
                      <w:highlight w:val="none"/>
                      <w:lang w:val="en-US" w:eastAsia="zh-CN"/>
                    </w:rPr>
                    <w:t>1.24</w:t>
                  </w:r>
                </w:p>
              </w:tc>
              <w:tc>
                <w:tcPr>
                  <w:tcW w:w="358"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827" w:type="pct"/>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2025年6月23日</w:t>
                  </w:r>
                </w:p>
              </w:tc>
              <w:tc>
                <w:tcPr>
                  <w:tcW w:w="65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非甲烷总烃</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val="en-US" w:eastAsia="zh-CN"/>
                    </w:rPr>
                  </w:pPr>
                  <w:r>
                    <w:rPr>
                      <w:rFonts w:hint="eastAsia"/>
                      <w:highlight w:val="none"/>
                      <w:lang w:val="en-US" w:eastAsia="zh-CN"/>
                    </w:rPr>
                    <w:t>未检出</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r>
                    <w:rPr>
                      <w:rFonts w:hint="eastAsia"/>
                      <w:highlight w:val="none"/>
                    </w:rPr>
                    <w:t>未检出</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r>
                    <w:rPr>
                      <w:rFonts w:hint="eastAsia"/>
                      <w:highlight w:val="none"/>
                    </w:rPr>
                    <w:t>未检出</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highlight w:val="none"/>
                    </w:rPr>
                  </w:pPr>
                  <w:r>
                    <w:rPr>
                      <w:rFonts w:hint="eastAsia"/>
                      <w:highlight w:val="none"/>
                    </w:rPr>
                    <w:t>未检出</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highlight w:val="none"/>
                      <w:lang w:val="en-US" w:eastAsia="zh-CN"/>
                    </w:rPr>
                  </w:pPr>
                  <w:r>
                    <w:rPr>
                      <w:rFonts w:hint="eastAsia"/>
                      <w:highlight w:val="none"/>
                      <w:lang w:val="en-US" w:eastAsia="zh-CN"/>
                    </w:rPr>
                    <w:t>/</w:t>
                  </w:r>
                </w:p>
              </w:tc>
              <w:tc>
                <w:tcPr>
                  <w:tcW w:w="358" w:type="pct"/>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val="en-US" w:eastAsia="zh-CN"/>
                    </w:rPr>
                  </w:pPr>
                  <w:r>
                    <w:rPr>
                      <w:rFonts w:hint="eastAsia"/>
                      <w:highlight w:val="none"/>
                      <w:lang w:val="en-US" w:eastAsia="zh-CN"/>
                    </w:rPr>
                    <w:t>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827"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颗粒物</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0.110</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0.145</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0.128</w:t>
                  </w:r>
                </w:p>
              </w:tc>
              <w:tc>
                <w:tcPr>
                  <w:tcW w:w="59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0.122</w:t>
                  </w:r>
                </w:p>
              </w:tc>
              <w:tc>
                <w:tcPr>
                  <w:tcW w:w="800" w:type="pc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highlight w:val="none"/>
                      <w:lang w:val="en-US" w:eastAsia="zh-CN"/>
                    </w:rPr>
                  </w:pPr>
                  <w:r>
                    <w:rPr>
                      <w:rFonts w:hint="eastAsia"/>
                      <w:highlight w:val="none"/>
                      <w:lang w:val="en-US" w:eastAsia="zh-CN"/>
                    </w:rPr>
                    <w:t>/</w:t>
                  </w:r>
                </w:p>
              </w:tc>
              <w:tc>
                <w:tcPr>
                  <w:tcW w:w="358" w:type="pct"/>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val="en-US" w:eastAsia="zh-CN"/>
                    </w:rPr>
                  </w:pPr>
                </w:p>
              </w:tc>
            </w:tr>
          </w:tbl>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rFonts w:hint="eastAsia"/>
                <w:highlight w:val="none"/>
                <w:lang w:eastAsia="zh-CN"/>
              </w:rPr>
              <w:t>表 2-12  有组织废气检测结果统计表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9"/>
              <w:gridCol w:w="655"/>
              <w:gridCol w:w="1168"/>
              <w:gridCol w:w="1594"/>
              <w:gridCol w:w="1195"/>
              <w:gridCol w:w="1140"/>
              <w:gridCol w:w="1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采样点位</w:t>
                  </w:r>
                </w:p>
              </w:tc>
              <w:tc>
                <w:tcPr>
                  <w:tcW w:w="65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检测项目</w:t>
                  </w: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标干流量（m</w:t>
                  </w:r>
                  <w:r>
                    <w:rPr>
                      <w:rFonts w:hint="eastAsia"/>
                      <w:highlight w:val="none"/>
                      <w:vertAlign w:val="superscript"/>
                    </w:rPr>
                    <w:t>3</w:t>
                  </w:r>
                  <w:r>
                    <w:rPr>
                      <w:rFonts w:hint="eastAsia"/>
                      <w:highlight w:val="none"/>
                    </w:rPr>
                    <w:t>/h）</w:t>
                  </w:r>
                </w:p>
              </w:tc>
              <w:tc>
                <w:tcPr>
                  <w:tcW w:w="159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采样时间</w:t>
                  </w: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实测浓度（mg/m</w:t>
                  </w:r>
                  <w:r>
                    <w:rPr>
                      <w:rFonts w:hint="eastAsia"/>
                      <w:highlight w:val="none"/>
                      <w:vertAlign w:val="superscript"/>
                    </w:rPr>
                    <w:t>3</w:t>
                  </w:r>
                  <w:r>
                    <w:rPr>
                      <w:rFonts w:hint="eastAsia"/>
                      <w:highlight w:val="none"/>
                    </w:rPr>
                    <w:t>）</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排放速率（kg/h）</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排气筒 高度（m）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DA001机加工废气排放口</w:t>
                  </w:r>
                </w:p>
              </w:tc>
              <w:tc>
                <w:tcPr>
                  <w:tcW w:w="65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非甲烷总烃</w:t>
                  </w: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4160</w:t>
                  </w:r>
                </w:p>
              </w:tc>
              <w:tc>
                <w:tcPr>
                  <w:tcW w:w="159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2025年6月23日</w:t>
                  </w: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0.033</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1.36×10</w:t>
                  </w:r>
                  <w:r>
                    <w:rPr>
                      <w:rFonts w:hint="eastAsia"/>
                      <w:highlight w:val="none"/>
                      <w:vertAlign w:val="superscript"/>
                    </w:rPr>
                    <w:t>-4</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DA002测试废气排放口</w:t>
                  </w:r>
                </w:p>
              </w:tc>
              <w:tc>
                <w:tcPr>
                  <w:tcW w:w="65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3091</w:t>
                  </w:r>
                </w:p>
              </w:tc>
              <w:tc>
                <w:tcPr>
                  <w:tcW w:w="159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0.020</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6.08×10</w:t>
                  </w:r>
                  <w:r>
                    <w:rPr>
                      <w:rFonts w:hint="eastAsia"/>
                      <w:highlight w:val="none"/>
                      <w:vertAlign w:val="superscript"/>
                    </w:rPr>
                    <w:t>-5</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DA003注塑废气排放口</w:t>
                  </w:r>
                </w:p>
              </w:tc>
              <w:tc>
                <w:tcPr>
                  <w:tcW w:w="65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1081</w:t>
                  </w:r>
                </w:p>
              </w:tc>
              <w:tc>
                <w:tcPr>
                  <w:tcW w:w="159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0.050</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4.95×10</w:t>
                  </w:r>
                  <w:r>
                    <w:rPr>
                      <w:rFonts w:hint="eastAsia"/>
                      <w:highlight w:val="none"/>
                      <w:vertAlign w:val="superscript"/>
                    </w:rPr>
                    <w:t>-5</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139"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DA004测试、乙醇擦拭废气排放口</w:t>
                  </w:r>
                </w:p>
              </w:tc>
              <w:tc>
                <w:tcPr>
                  <w:tcW w:w="65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2695</w:t>
                  </w:r>
                </w:p>
              </w:tc>
              <w:tc>
                <w:tcPr>
                  <w:tcW w:w="159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2025年7月9日</w:t>
                  </w: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1.53</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w:t>
                  </w:r>
                  <w:r>
                    <w:rPr>
                      <w:rFonts w:hint="eastAsia"/>
                      <w:highlight w:val="none"/>
                      <w:lang w:val="en-US" w:eastAsia="zh-CN"/>
                    </w:rPr>
                    <w:t>1</w:t>
                  </w:r>
                  <w:r>
                    <w:rPr>
                      <w:rFonts w:hint="eastAsia"/>
                      <w:highlight w:val="none"/>
                    </w:rPr>
                    <w:t>×10</w:t>
                  </w:r>
                  <w:r>
                    <w:rPr>
                      <w:rFonts w:hint="eastAsia"/>
                      <w:highlight w:val="none"/>
                      <w:vertAlign w:val="superscript"/>
                    </w:rPr>
                    <w:t>-3</w:t>
                  </w:r>
                </w:p>
              </w:tc>
              <w:tc>
                <w:tcPr>
                  <w:tcW w:w="114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139"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2898</w:t>
                  </w:r>
                </w:p>
              </w:tc>
              <w:tc>
                <w:tcPr>
                  <w:tcW w:w="159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1.43</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4.1×10</w:t>
                  </w:r>
                  <w:r>
                    <w:rPr>
                      <w:rFonts w:hint="eastAsia"/>
                      <w:highlight w:val="none"/>
                      <w:vertAlign w:val="superscript"/>
                    </w:rPr>
                    <w:t>-3</w:t>
                  </w:r>
                </w:p>
              </w:tc>
              <w:tc>
                <w:tcPr>
                  <w:tcW w:w="114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139"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2861</w:t>
                  </w:r>
                </w:p>
              </w:tc>
              <w:tc>
                <w:tcPr>
                  <w:tcW w:w="159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1.45</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4.1×10</w:t>
                  </w:r>
                  <w:r>
                    <w:rPr>
                      <w:rFonts w:hint="eastAsia"/>
                      <w:highlight w:val="none"/>
                      <w:vertAlign w:val="superscript"/>
                    </w:rPr>
                    <w:t>-3</w:t>
                  </w:r>
                </w:p>
              </w:tc>
              <w:tc>
                <w:tcPr>
                  <w:tcW w:w="114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 w:hRule="atLeast"/>
                <w:jc w:val="center"/>
              </w:trPr>
              <w:tc>
                <w:tcPr>
                  <w:tcW w:w="1139"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2609</w:t>
                  </w:r>
                </w:p>
              </w:tc>
              <w:tc>
                <w:tcPr>
                  <w:tcW w:w="159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2025年7月10日</w:t>
                  </w: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1.19</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3.1×10</w:t>
                  </w:r>
                  <w:r>
                    <w:rPr>
                      <w:rFonts w:hint="eastAsia"/>
                      <w:highlight w:val="none"/>
                      <w:vertAlign w:val="superscript"/>
                    </w:rPr>
                    <w:t>-3</w:t>
                  </w:r>
                </w:p>
              </w:tc>
              <w:tc>
                <w:tcPr>
                  <w:tcW w:w="114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 w:hRule="atLeast"/>
                <w:jc w:val="center"/>
              </w:trPr>
              <w:tc>
                <w:tcPr>
                  <w:tcW w:w="1139"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2692</w:t>
                  </w:r>
                </w:p>
              </w:tc>
              <w:tc>
                <w:tcPr>
                  <w:tcW w:w="159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1.42</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3.8×10</w:t>
                  </w:r>
                  <w:r>
                    <w:rPr>
                      <w:rFonts w:hint="eastAsia"/>
                      <w:highlight w:val="none"/>
                      <w:vertAlign w:val="superscript"/>
                    </w:rPr>
                    <w:t>-3</w:t>
                  </w:r>
                </w:p>
              </w:tc>
              <w:tc>
                <w:tcPr>
                  <w:tcW w:w="114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 w:hRule="atLeast"/>
                <w:jc w:val="center"/>
              </w:trPr>
              <w:tc>
                <w:tcPr>
                  <w:tcW w:w="1139"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65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6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2611</w:t>
                  </w:r>
                </w:p>
              </w:tc>
              <w:tc>
                <w:tcPr>
                  <w:tcW w:w="159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9"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1.34</w:t>
                  </w:r>
                </w:p>
              </w:tc>
              <w:tc>
                <w:tcPr>
                  <w:tcW w:w="1140"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3.5×10</w:t>
                  </w:r>
                  <w:r>
                    <w:rPr>
                      <w:rFonts w:hint="eastAsia"/>
                      <w:highlight w:val="none"/>
                      <w:vertAlign w:val="superscript"/>
                    </w:rPr>
                    <w:t>-3</w:t>
                  </w:r>
                </w:p>
              </w:tc>
              <w:tc>
                <w:tcPr>
                  <w:tcW w:w="1140"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bl>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eastAsia"/>
                <w:color w:val="auto"/>
                <w:highlight w:val="none"/>
                <w:lang w:eastAsia="zh-CN"/>
              </w:rPr>
            </w:pPr>
            <w:r>
              <w:rPr>
                <w:rFonts w:hint="eastAsia"/>
                <w:color w:val="auto"/>
                <w:highlight w:val="none"/>
                <w:lang w:eastAsia="zh-CN"/>
              </w:rPr>
              <w:t>废气结果显示，项目DA001有组织非甲烷总烃排放浓度满足《合成树脂工业污染物综合排放标准》(GB31572-2015)要求（最高允许排放浓度≤</w:t>
            </w:r>
            <w:r>
              <w:rPr>
                <w:rFonts w:hint="eastAsia"/>
                <w:color w:val="auto"/>
                <w:highlight w:val="none"/>
                <w:lang w:val="en-US" w:eastAsia="zh-CN"/>
              </w:rPr>
              <w:t>10</w:t>
            </w:r>
            <w:r>
              <w:rPr>
                <w:rFonts w:hint="eastAsia"/>
                <w:color w:val="auto"/>
                <w:highlight w:val="none"/>
                <w:lang w:eastAsia="zh-CN"/>
              </w:rPr>
              <w:t>0mg/m</w:t>
            </w:r>
            <w:r>
              <w:rPr>
                <w:rFonts w:hint="eastAsia"/>
                <w:color w:val="auto"/>
                <w:highlight w:val="none"/>
                <w:vertAlign w:val="superscript"/>
                <w:lang w:eastAsia="zh-CN"/>
              </w:rPr>
              <w:t>3</w:t>
            </w:r>
            <w:r>
              <w:rPr>
                <w:rFonts w:hint="eastAsia"/>
                <w:color w:val="auto"/>
                <w:highlight w:val="none"/>
                <w:lang w:eastAsia="zh-CN"/>
              </w:rPr>
              <w:t>），</w:t>
            </w:r>
            <w:r>
              <w:rPr>
                <w:rFonts w:hint="eastAsia"/>
                <w:color w:val="auto"/>
                <w:highlight w:val="none"/>
                <w:lang w:val="en-US" w:eastAsia="zh-CN"/>
              </w:rPr>
              <w:t>同时</w:t>
            </w:r>
            <w:r>
              <w:rPr>
                <w:rFonts w:hint="eastAsia"/>
                <w:color w:val="auto"/>
                <w:highlight w:val="none"/>
                <w:lang w:eastAsia="zh-CN"/>
              </w:rPr>
              <w:t>DA001</w:t>
            </w:r>
            <w:r>
              <w:rPr>
                <w:rFonts w:hint="eastAsia"/>
                <w:color w:val="auto"/>
                <w:highlight w:val="none"/>
                <w:lang w:val="en-US" w:eastAsia="zh-CN"/>
              </w:rPr>
              <w:t>满足</w:t>
            </w:r>
            <w:r>
              <w:rPr>
                <w:rFonts w:hint="eastAsia"/>
                <w:color w:val="auto"/>
                <w:highlight w:val="none"/>
                <w:lang w:eastAsia="zh-CN"/>
              </w:rPr>
              <w:t>《固定源挥发性有机物综合排放标准第6部分：其他行业》（DB34/4812.6-2024）中表1排放标准（</w:t>
            </w:r>
            <w:r>
              <w:rPr>
                <w:rFonts w:hint="eastAsia"/>
                <w:color w:val="auto"/>
                <w:highlight w:val="none"/>
                <w:lang w:val="en-US" w:eastAsia="zh-CN"/>
              </w:rPr>
              <w:t>注塑工艺</w:t>
            </w:r>
            <w:r>
              <w:rPr>
                <w:rFonts w:hint="eastAsia"/>
                <w:color w:val="auto"/>
                <w:highlight w:val="none"/>
                <w:lang w:eastAsia="zh-CN"/>
              </w:rPr>
              <w:t>最高允许排放浓度≤40mg/m</w:t>
            </w:r>
            <w:r>
              <w:rPr>
                <w:rFonts w:hint="eastAsia"/>
                <w:color w:val="auto"/>
                <w:highlight w:val="none"/>
                <w:vertAlign w:val="superscript"/>
                <w:lang w:eastAsia="zh-CN"/>
              </w:rPr>
              <w:t>3</w:t>
            </w:r>
            <w:r>
              <w:rPr>
                <w:rFonts w:hint="eastAsia"/>
                <w:color w:val="auto"/>
                <w:highlight w:val="none"/>
                <w:lang w:eastAsia="zh-CN"/>
              </w:rPr>
              <w:t>，最高允许排放速率≤1.6kg/h）；DA002和DA003</w:t>
            </w:r>
            <w:r>
              <w:rPr>
                <w:rFonts w:hint="eastAsia"/>
                <w:color w:val="auto"/>
                <w:highlight w:val="none"/>
                <w:lang w:val="en-US" w:eastAsia="zh-CN"/>
              </w:rPr>
              <w:t>满足</w:t>
            </w:r>
            <w:r>
              <w:rPr>
                <w:rFonts w:hint="eastAsia"/>
                <w:color w:val="auto"/>
                <w:highlight w:val="none"/>
                <w:lang w:eastAsia="zh-CN"/>
              </w:rPr>
              <w:t>《固定源挥发性有机物综合排放标准第6部分：其他行业》（DB34/4812.6-2024）中表1排放标准（汽车零部件制造最高允许排放浓度≤</w:t>
            </w:r>
            <w:r>
              <w:rPr>
                <w:rFonts w:hint="eastAsia"/>
                <w:color w:val="auto"/>
                <w:highlight w:val="none"/>
                <w:lang w:val="en-US" w:eastAsia="zh-CN"/>
              </w:rPr>
              <w:t>6</w:t>
            </w:r>
            <w:r>
              <w:rPr>
                <w:rFonts w:hint="eastAsia"/>
                <w:color w:val="auto"/>
                <w:highlight w:val="none"/>
                <w:lang w:eastAsia="zh-CN"/>
              </w:rPr>
              <w:t>0mg/m</w:t>
            </w:r>
            <w:r>
              <w:rPr>
                <w:rFonts w:hint="eastAsia"/>
                <w:color w:val="auto"/>
                <w:highlight w:val="none"/>
                <w:vertAlign w:val="superscript"/>
                <w:lang w:eastAsia="zh-CN"/>
              </w:rPr>
              <w:t>3</w:t>
            </w:r>
            <w:r>
              <w:rPr>
                <w:rFonts w:hint="eastAsia"/>
                <w:color w:val="auto"/>
                <w:highlight w:val="none"/>
                <w:lang w:eastAsia="zh-CN"/>
              </w:rPr>
              <w:t>，最高允许排放速率≤</w:t>
            </w:r>
            <w:r>
              <w:rPr>
                <w:rFonts w:hint="eastAsia"/>
                <w:color w:val="auto"/>
                <w:highlight w:val="none"/>
                <w:lang w:val="en-US" w:eastAsia="zh-CN"/>
              </w:rPr>
              <w:t>2.0</w:t>
            </w:r>
            <w:r>
              <w:rPr>
                <w:rFonts w:hint="eastAsia"/>
                <w:color w:val="auto"/>
                <w:highlight w:val="none"/>
                <w:lang w:eastAsia="zh-CN"/>
              </w:rPr>
              <w:t>kg/h）；项目DA004有组织非甲烷总烃排放浓度满足《固定源挥发性有机物综合排放标准第6部分：其他行业》（DB34/4812.6-2024）中表1汽车零部件制造排放标准（最高允许排放浓度≤</w:t>
            </w:r>
            <w:r>
              <w:rPr>
                <w:rFonts w:hint="eastAsia"/>
                <w:color w:val="auto"/>
                <w:highlight w:val="none"/>
                <w:lang w:val="en-US" w:eastAsia="zh-CN"/>
              </w:rPr>
              <w:t>6</w:t>
            </w:r>
            <w:r>
              <w:rPr>
                <w:rFonts w:hint="eastAsia"/>
                <w:color w:val="auto"/>
                <w:highlight w:val="none"/>
                <w:lang w:eastAsia="zh-CN"/>
              </w:rPr>
              <w:t>0mg/m</w:t>
            </w:r>
            <w:r>
              <w:rPr>
                <w:rFonts w:hint="eastAsia"/>
                <w:color w:val="auto"/>
                <w:highlight w:val="none"/>
                <w:vertAlign w:val="superscript"/>
                <w:lang w:eastAsia="zh-CN"/>
              </w:rPr>
              <w:t>3</w:t>
            </w:r>
            <w:r>
              <w:rPr>
                <w:rFonts w:hint="eastAsia"/>
                <w:color w:val="auto"/>
                <w:highlight w:val="none"/>
                <w:lang w:eastAsia="zh-CN"/>
              </w:rPr>
              <w:t>，最高允许排放速率≤</w:t>
            </w:r>
            <w:r>
              <w:rPr>
                <w:rFonts w:hint="eastAsia"/>
                <w:color w:val="auto"/>
                <w:highlight w:val="none"/>
                <w:lang w:val="en-US" w:eastAsia="zh-CN"/>
              </w:rPr>
              <w:t>2.0</w:t>
            </w:r>
            <w:r>
              <w:rPr>
                <w:rFonts w:hint="eastAsia"/>
                <w:color w:val="auto"/>
                <w:highlight w:val="none"/>
                <w:lang w:eastAsia="zh-CN"/>
              </w:rPr>
              <w:t>kg/h）；无组织颗粒物、非甲烷总烃排放浓度满足《合成树脂工业污染物排放标准》（GB31572-2015）中表9企业边界大气污染物浓度限值（颗粒物排放浓度≤1.0mg/m</w:t>
            </w:r>
            <w:r>
              <w:rPr>
                <w:rFonts w:hint="eastAsia"/>
                <w:color w:val="auto"/>
                <w:highlight w:val="none"/>
                <w:vertAlign w:val="superscript"/>
                <w:lang w:eastAsia="zh-CN"/>
              </w:rPr>
              <w:t>3</w:t>
            </w:r>
            <w:r>
              <w:rPr>
                <w:rFonts w:hint="eastAsia"/>
                <w:color w:val="auto"/>
                <w:highlight w:val="none"/>
                <w:lang w:eastAsia="zh-CN"/>
              </w:rPr>
              <w:t>，非甲烷总烃≤4.0mg/m</w:t>
            </w:r>
            <w:r>
              <w:rPr>
                <w:rFonts w:hint="eastAsia"/>
                <w:color w:val="auto"/>
                <w:highlight w:val="none"/>
                <w:vertAlign w:val="superscript"/>
                <w:lang w:eastAsia="zh-CN"/>
              </w:rPr>
              <w:t>3</w:t>
            </w:r>
            <w:r>
              <w:rPr>
                <w:rFonts w:hint="eastAsia"/>
                <w:color w:val="auto"/>
                <w:highlight w:val="none"/>
                <w:lang w:eastAsia="zh-CN"/>
              </w:rPr>
              <w:t>）；厂区内VOCs无组织排放</w:t>
            </w:r>
            <w:r>
              <w:rPr>
                <w:rFonts w:hint="eastAsia"/>
                <w:color w:val="auto"/>
                <w:highlight w:val="none"/>
                <w:lang w:val="en-US" w:eastAsia="zh-CN"/>
              </w:rPr>
              <w:t>浓度满足《挥发性有机物无组织排放控制标准》（GB37822-2019）</w:t>
            </w:r>
            <w:r>
              <w:rPr>
                <w:rFonts w:hint="eastAsia"/>
                <w:color w:val="auto"/>
                <w:highlight w:val="none"/>
                <w:lang w:eastAsia="zh-CN"/>
              </w:rPr>
              <w:t>限值（监控点处1h平均浓度值非甲烷总烃≤</w:t>
            </w:r>
            <w:r>
              <w:rPr>
                <w:rFonts w:hint="eastAsia"/>
                <w:color w:val="auto"/>
                <w:highlight w:val="none"/>
                <w:lang w:val="en-US" w:eastAsia="zh-CN"/>
              </w:rPr>
              <w:t>6</w:t>
            </w:r>
            <w:r>
              <w:rPr>
                <w:rFonts w:hint="eastAsia"/>
                <w:color w:val="auto"/>
                <w:highlight w:val="none"/>
                <w:lang w:eastAsia="zh-CN"/>
              </w:rPr>
              <w:t>.0mg/m</w:t>
            </w:r>
            <w:r>
              <w:rPr>
                <w:rFonts w:hint="eastAsia"/>
                <w:color w:val="auto"/>
                <w:highlight w:val="none"/>
                <w:vertAlign w:val="superscript"/>
                <w:lang w:eastAsia="zh-CN"/>
              </w:rPr>
              <w:t>3</w:t>
            </w:r>
            <w:r>
              <w:rPr>
                <w:rFonts w:hint="eastAsia"/>
                <w:color w:val="auto"/>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default"/>
                <w:color w:val="auto"/>
                <w:highlight w:val="none"/>
                <w:lang w:val="en-US" w:eastAsia="zh-CN"/>
              </w:rPr>
            </w:pPr>
            <w:r>
              <w:rPr>
                <w:rFonts w:hint="eastAsia"/>
                <w:highlight w:val="none"/>
                <w:lang w:eastAsia="zh-CN"/>
              </w:rPr>
              <w:t>根据</w:t>
            </w:r>
            <w:r>
              <w:rPr>
                <w:rFonts w:hint="eastAsia"/>
                <w:color w:val="auto"/>
                <w:highlight w:val="none"/>
                <w:lang w:val="en-US" w:eastAsia="zh-CN"/>
              </w:rPr>
              <w:t>《</w:t>
            </w:r>
            <w:r>
              <w:rPr>
                <w:rFonts w:hint="eastAsia"/>
                <w:highlight w:val="none"/>
                <w:lang w:eastAsia="zh-CN"/>
              </w:rPr>
              <w:t>马瑞利动力系统(合肥)有限公司研发生产基地建设项目竣工环境保护自主验收意见</w:t>
            </w:r>
            <w:r>
              <w:rPr>
                <w:rFonts w:hint="eastAsia"/>
                <w:color w:val="auto"/>
                <w:highlight w:val="none"/>
                <w:lang w:val="en-US" w:eastAsia="zh-CN"/>
              </w:rPr>
              <w:t>》</w:t>
            </w:r>
            <w:r>
              <w:rPr>
                <w:rFonts w:hint="eastAsia"/>
                <w:highlight w:val="none"/>
                <w:lang w:eastAsia="zh-CN"/>
              </w:rPr>
              <w:t>，“本次验收项目于2024年12月试生产，根据企业2024年12月自行监测数据，全厂废气污染物核定总量为0.12t/a，未超出环评及环评批复中厂区有组织排放的VOCs总量为0.14t/a的限值”，</w:t>
            </w:r>
            <w:r>
              <w:rPr>
                <w:rFonts w:hint="eastAsia"/>
                <w:color w:val="auto"/>
                <w:highlight w:val="none"/>
                <w:lang w:eastAsia="zh-CN"/>
              </w:rPr>
              <w:t>项目DA001、DA002和DA003废气污染物核定总量为0.12</w:t>
            </w:r>
            <w:r>
              <w:rPr>
                <w:rFonts w:hint="eastAsia"/>
                <w:color w:val="auto"/>
                <w:highlight w:val="none"/>
                <w:lang w:val="en-US" w:eastAsia="zh-CN"/>
              </w:rPr>
              <w:t>t</w:t>
            </w:r>
            <w:r>
              <w:rPr>
                <w:rFonts w:hint="eastAsia"/>
                <w:color w:val="auto"/>
                <w:highlight w:val="none"/>
                <w:lang w:eastAsia="zh-CN"/>
              </w:rPr>
              <w:t>/a，未超出</w:t>
            </w:r>
            <w:r>
              <w:rPr>
                <w:rFonts w:hint="eastAsia"/>
                <w:highlight w:val="none"/>
                <w:lang w:eastAsia="zh-CN"/>
              </w:rPr>
              <w:t>马瑞利动力系统(合肥)有限公司研发生产基地建设项目</w:t>
            </w:r>
            <w:r>
              <w:rPr>
                <w:rFonts w:hint="eastAsia"/>
                <w:color w:val="auto"/>
                <w:highlight w:val="none"/>
                <w:lang w:eastAsia="zh-CN"/>
              </w:rPr>
              <w:t>环评及环评批复中厂区有组织排放的VOCs总量为0.14t/a的限值。</w:t>
            </w:r>
            <w:r>
              <w:rPr>
                <w:rFonts w:hint="eastAsia"/>
                <w:highlight w:val="none"/>
                <w:lang w:eastAsia="zh-CN"/>
              </w:rPr>
              <w:t>根据</w:t>
            </w:r>
            <w:r>
              <w:rPr>
                <w:rFonts w:hint="eastAsia"/>
                <w:highlight w:val="none"/>
                <w:lang w:val="en-US" w:eastAsia="zh-CN"/>
              </w:rPr>
              <w:t>监测数据，</w:t>
            </w:r>
            <w:r>
              <w:rPr>
                <w:rFonts w:hint="eastAsia"/>
                <w:color w:val="auto"/>
                <w:highlight w:val="none"/>
                <w:lang w:eastAsia="zh-CN"/>
              </w:rPr>
              <w:t>DA00</w:t>
            </w:r>
            <w:r>
              <w:rPr>
                <w:rFonts w:hint="eastAsia"/>
                <w:color w:val="auto"/>
                <w:highlight w:val="none"/>
                <w:lang w:val="en-US" w:eastAsia="zh-CN"/>
              </w:rPr>
              <w:t>4</w:t>
            </w:r>
            <w:r>
              <w:rPr>
                <w:rFonts w:hint="eastAsia" w:ascii="Times New Roman" w:hAnsi="宋体"/>
                <w:kern w:val="0"/>
                <w:sz w:val="24"/>
                <w:szCs w:val="24"/>
              </w:rPr>
              <w:t>非甲烷总烃排放量</w:t>
            </w:r>
            <w:r>
              <w:rPr>
                <w:rFonts w:hint="eastAsia" w:ascii="Times New Roman" w:hAnsi="宋体"/>
                <w:kern w:val="0"/>
                <w:sz w:val="24"/>
                <w:szCs w:val="24"/>
                <w:lang w:val="en-US" w:eastAsia="zh-CN"/>
              </w:rPr>
              <w:t>为</w:t>
            </w:r>
            <w:r>
              <w:rPr>
                <w:rFonts w:hint="eastAsia" w:ascii="Times New Roman" w:hAnsi="宋体"/>
                <w:kern w:val="0"/>
                <w:sz w:val="24"/>
                <w:szCs w:val="24"/>
              </w:rPr>
              <w:t>0</w:t>
            </w:r>
            <w:r>
              <w:rPr>
                <w:rFonts w:ascii="Times New Roman" w:hAnsi="宋体"/>
                <w:kern w:val="0"/>
                <w:sz w:val="24"/>
                <w:szCs w:val="24"/>
              </w:rPr>
              <w:t>.0041</w:t>
            </w:r>
            <w:r>
              <w:rPr>
                <w:rFonts w:hint="eastAsia" w:ascii="Times New Roman" w:hAnsi="宋体"/>
                <w:kern w:val="0"/>
                <w:sz w:val="24"/>
                <w:szCs w:val="24"/>
              </w:rPr>
              <w:t>kg/h</w:t>
            </w:r>
            <w:r>
              <w:rPr>
                <w:rFonts w:ascii="Times New Roman" w:hAnsi="宋体"/>
                <w:kern w:val="0"/>
                <w:sz w:val="24"/>
                <w:szCs w:val="24"/>
              </w:rPr>
              <w:t>×10</w:t>
            </w:r>
            <w:r>
              <w:rPr>
                <w:rFonts w:hint="eastAsia" w:ascii="Times New Roman" w:hAnsi="宋体"/>
                <w:kern w:val="0"/>
                <w:sz w:val="24"/>
                <w:szCs w:val="24"/>
              </w:rPr>
              <w:t>00h≈</w:t>
            </w:r>
            <w:r>
              <w:rPr>
                <w:rFonts w:ascii="Times New Roman" w:hAnsi="宋体"/>
                <w:kern w:val="0"/>
                <w:sz w:val="24"/>
                <w:szCs w:val="24"/>
              </w:rPr>
              <w:t>0.004</w:t>
            </w:r>
            <w:r>
              <w:rPr>
                <w:rFonts w:hint="eastAsia" w:ascii="Times New Roman" w:hAnsi="宋体"/>
                <w:kern w:val="0"/>
                <w:sz w:val="24"/>
                <w:szCs w:val="24"/>
              </w:rPr>
              <w:t>t/a</w:t>
            </w:r>
            <w:r>
              <w:rPr>
                <w:rFonts w:hint="eastAsia" w:ascii="Times New Roman" w:hAnsi="宋体"/>
                <w:kern w:val="0"/>
                <w:sz w:val="24"/>
                <w:szCs w:val="24"/>
                <w:lang w:eastAsia="zh-CN"/>
              </w:rPr>
              <w:t>，未超出允许排放量0.004t/a</w:t>
            </w:r>
            <w:r>
              <w:rPr>
                <w:rFonts w:hint="eastAsia"/>
                <w:highlight w:val="none"/>
                <w:lang w:eastAsia="zh-CN"/>
              </w:rPr>
              <w:t>。</w:t>
            </w:r>
            <w:r>
              <w:rPr>
                <w:rFonts w:hint="eastAsia"/>
                <w:highlight w:val="none"/>
                <w:lang w:val="en-US" w:eastAsia="zh-CN"/>
              </w:rPr>
              <w:t>则现有项目</w:t>
            </w:r>
            <w:r>
              <w:rPr>
                <w:rFonts w:hint="eastAsia"/>
                <w:color w:val="auto"/>
                <w:highlight w:val="none"/>
                <w:lang w:eastAsia="zh-CN"/>
              </w:rPr>
              <w:t>VOCs</w:t>
            </w:r>
            <w:r>
              <w:rPr>
                <w:rFonts w:hint="eastAsia"/>
                <w:color w:val="auto"/>
                <w:highlight w:val="none"/>
                <w:lang w:val="en-US" w:eastAsia="zh-CN"/>
              </w:rPr>
              <w:t>排放量为0.124t/a。</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（3）噪声</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根据《</w:t>
            </w:r>
            <w:r>
              <w:rPr>
                <w:rFonts w:hint="eastAsia"/>
                <w:color w:val="000000" w:themeColor="text1"/>
                <w:highlight w:val="none"/>
                <w:lang w:eastAsia="zh-CN"/>
                <w14:textFill>
                  <w14:solidFill>
                    <w14:schemeClr w14:val="tx1"/>
                  </w14:solidFill>
                </w14:textFill>
              </w:rPr>
              <w:t>马瑞利动力系统(合肥)有限公司年产36000套机械式自动变速器执行器项目竣工环境保护验收检测项目</w:t>
            </w:r>
            <w:r>
              <w:rPr>
                <w:rFonts w:hint="eastAsia"/>
                <w:highlight w:val="none"/>
                <w:lang w:eastAsia="zh-CN"/>
              </w:rPr>
              <w:t>》监测数据中的噪声结果显示，四周厂界昼夜间噪声均满足《工业企业厂界环境噪声排放标准》（GB12348-2008）中3类标准。</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表 2-1</w:t>
            </w:r>
            <w:r>
              <w:rPr>
                <w:rFonts w:hint="eastAsia"/>
                <w:highlight w:val="none"/>
                <w:lang w:eastAsia="zh-CN"/>
              </w:rPr>
              <w:t>3</w:t>
            </w:r>
            <w:r>
              <w:rPr>
                <w:highlight w:val="none"/>
                <w:lang w:eastAsia="zh-CN"/>
              </w:rPr>
              <w:t xml:space="preserve">  项目厂界声环境监测结果</w:t>
            </w:r>
            <w:r>
              <w:rPr>
                <w:rFonts w:hint="eastAsia"/>
                <w:highlight w:val="none"/>
                <w:lang w:eastAsia="zh-CN"/>
              </w:rPr>
              <w:t xml:space="preserve"> dB（A）</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2"/>
              <w:gridCol w:w="1552"/>
              <w:gridCol w:w="1552"/>
              <w:gridCol w:w="1552"/>
              <w:gridCol w:w="1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55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测点</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编号</w:t>
                  </w:r>
                </w:p>
              </w:tc>
              <w:tc>
                <w:tcPr>
                  <w:tcW w:w="155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测点位置</w:t>
                  </w:r>
                </w:p>
              </w:tc>
              <w:tc>
                <w:tcPr>
                  <w:tcW w:w="155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主要声源</w:t>
                  </w:r>
                </w:p>
              </w:tc>
              <w:tc>
                <w:tcPr>
                  <w:tcW w:w="3104"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color w:val="000000" w:themeColor="text1"/>
                      <w:highlight w:val="none"/>
                      <w14:textFill>
                        <w14:solidFill>
                          <w14:schemeClr w14:val="tx1"/>
                        </w14:solidFill>
                      </w14:textFill>
                    </w:rPr>
                    <w:t>202</w:t>
                  </w:r>
                  <w:r>
                    <w:rPr>
                      <w:rFonts w:hint="eastAsia"/>
                      <w:color w:val="000000" w:themeColor="text1"/>
                      <w:highlight w:val="none"/>
                      <w14:textFill>
                        <w14:solidFill>
                          <w14:schemeClr w14:val="tx1"/>
                        </w14:solidFill>
                      </w14:textFill>
                    </w:rPr>
                    <w:t>5年7月10日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5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5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5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昼间</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N1</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厂界</w:t>
                  </w:r>
                  <w:r>
                    <w:rPr>
                      <w:rFonts w:hint="eastAsia"/>
                      <w:highlight w:val="none"/>
                    </w:rPr>
                    <w:t>西</w:t>
                  </w:r>
                </w:p>
              </w:tc>
              <w:tc>
                <w:tcPr>
                  <w:tcW w:w="155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厂界噪声</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52.8</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N2</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厂界</w:t>
                  </w:r>
                  <w:r>
                    <w:rPr>
                      <w:rFonts w:hint="eastAsia"/>
                      <w:highlight w:val="none"/>
                    </w:rPr>
                    <w:t>北</w:t>
                  </w:r>
                </w:p>
              </w:tc>
              <w:tc>
                <w:tcPr>
                  <w:tcW w:w="15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57.9</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N3</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厂界南</w:t>
                  </w:r>
                </w:p>
              </w:tc>
              <w:tc>
                <w:tcPr>
                  <w:tcW w:w="15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55.8</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N4</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厂界东</w:t>
                  </w:r>
                </w:p>
              </w:tc>
              <w:tc>
                <w:tcPr>
                  <w:tcW w:w="15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53.8</w:t>
                  </w:r>
                </w:p>
              </w:tc>
              <w:tc>
                <w:tcPr>
                  <w:tcW w:w="15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48.5</w:t>
                  </w:r>
                </w:p>
              </w:tc>
            </w:tr>
          </w:tbl>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rPr>
            </w:pPr>
            <w:r>
              <w:rPr>
                <w:rFonts w:hint="eastAsia"/>
                <w:highlight w:val="none"/>
              </w:rPr>
              <w:t>（4）固体废物</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现有项目固体废物主要为废包装材料、废边角料、废原材料、除尘滤纸、不合格品、光伏电板、含油抹布、废切削液、废测试液、废润滑油、含油滤渣、废气处理废活性炭、污水处理站污泥、废树脂、生活垃圾、餐饮垃圾、废油脂等。</w:t>
            </w:r>
          </w:p>
          <w:p>
            <w:pPr>
              <w:pStyle w:val="18"/>
              <w:keepNext w:val="0"/>
              <w:keepLines w:val="0"/>
              <w:pageBreakBefore w:val="0"/>
              <w:kinsoku/>
              <w:wordWrap/>
              <w:overflowPunct w:val="0"/>
              <w:topLinePunct w:val="0"/>
              <w:autoSpaceDE w:val="0"/>
              <w:autoSpaceDN w:val="0"/>
              <w:bidi w:val="0"/>
              <w:adjustRightInd w:val="0"/>
              <w:snapToGrid w:val="0"/>
              <w:textAlignment w:val="baseline"/>
              <w:rPr>
                <w:highlight w:val="none"/>
                <w:lang w:eastAsia="zh-CN"/>
              </w:rPr>
            </w:pPr>
            <w:r>
              <w:rPr>
                <w:highlight w:val="none"/>
                <w:lang w:eastAsia="zh-CN"/>
              </w:rPr>
              <w:t>表 2-1</w:t>
            </w:r>
            <w:r>
              <w:rPr>
                <w:rFonts w:hint="eastAsia"/>
                <w:highlight w:val="none"/>
                <w:lang w:eastAsia="zh-CN"/>
              </w:rPr>
              <w:t>4</w:t>
            </w:r>
            <w:r>
              <w:rPr>
                <w:highlight w:val="none"/>
                <w:lang w:eastAsia="zh-CN"/>
              </w:rPr>
              <w:t xml:space="preserve">  项目固体废物种类及处理处置措施表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1"/>
              <w:gridCol w:w="1131"/>
              <w:gridCol w:w="938"/>
              <w:gridCol w:w="1324"/>
              <w:gridCol w:w="1276"/>
              <w:gridCol w:w="86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drawing>
                      <wp:inline distT="0" distB="0" distL="0" distR="0">
                        <wp:extent cx="2540" cy="178435"/>
                        <wp:effectExtent l="0" t="0" r="16510" b="12065"/>
                        <wp:docPr id="1" name="IM 46"/>
                        <wp:cNvGraphicFramePr/>
                        <a:graphic xmlns:a="http://schemas.openxmlformats.org/drawingml/2006/main">
                          <a:graphicData uri="http://schemas.openxmlformats.org/drawingml/2006/picture">
                            <pic:pic xmlns:pic="http://schemas.openxmlformats.org/drawingml/2006/picture">
                              <pic:nvPicPr>
                                <pic:cNvPr id="1" name="IM 46"/>
                                <pic:cNvPicPr/>
                              </pic:nvPicPr>
                              <pic:blipFill>
                                <a:blip r:embed="rId27"/>
                                <a:stretch>
                                  <a:fillRect/>
                                </a:stretch>
                              </pic:blipFill>
                              <pic:spPr>
                                <a:xfrm>
                                  <a:off x="0" y="0"/>
                                  <a:ext cx="3048" cy="178943"/>
                                </a:xfrm>
                                <a:prstGeom prst="rect">
                                  <a:avLst/>
                                </a:prstGeom>
                              </pic:spPr>
                            </pic:pic>
                          </a:graphicData>
                        </a:graphic>
                      </wp:inline>
                    </w:drawing>
                  </w:r>
                  <w:r>
                    <w:rPr>
                      <w:highlight w:val="none"/>
                    </w:rPr>
                    <w:t>固废</w:t>
                  </w:r>
                  <w:r>
                    <w:rPr>
                      <w:rFonts w:hint="eastAsia"/>
                      <w:highlight w:val="none"/>
                    </w:rPr>
                    <w:t>分类</w:t>
                  </w: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固废名称</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危险废物类别</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危险废物代码</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产生工段</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产生量</w:t>
                  </w:r>
                  <w:r>
                    <w:rPr>
                      <w:rFonts w:hint="eastAsia"/>
                      <w:highlight w:val="none"/>
                    </w:rPr>
                    <w:t>（t）</w:t>
                  </w:r>
                </w:p>
              </w:tc>
              <w:tc>
                <w:tcPr>
                  <w:tcW w:w="12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处理或处置方</w:t>
                  </w:r>
                  <w:r>
                    <w:rPr>
                      <w:rFonts w:hint="eastAsia"/>
                      <w:highlight w:val="none"/>
                    </w:rPr>
                    <w:t>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131"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一般工业固废</w:t>
                  </w: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废包装材料</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包装入库</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2.3</w:t>
                  </w:r>
                </w:p>
              </w:tc>
              <w:tc>
                <w:tcPr>
                  <w:tcW w:w="125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物资公司回收处置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废边角料</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机加工</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1.5</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废原材料</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原材料检验</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6</w:t>
                  </w:r>
                </w:p>
              </w:tc>
              <w:tc>
                <w:tcPr>
                  <w:tcW w:w="12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返回于生产厂家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除尘滤纸</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焊接烟尘处理</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0.04</w:t>
                  </w:r>
                </w:p>
              </w:tc>
              <w:tc>
                <w:tcPr>
                  <w:tcW w:w="12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由环卫工人统一清运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不合格品</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产品检验</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83</w:t>
                  </w:r>
                </w:p>
              </w:tc>
              <w:tc>
                <w:tcPr>
                  <w:tcW w:w="12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返回生产工序或委外处理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光伏电板</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维修</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0.5</w:t>
                  </w:r>
                </w:p>
              </w:tc>
              <w:tc>
                <w:tcPr>
                  <w:tcW w:w="12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生产厂家回收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废树脂</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纯水制备</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0.09</w:t>
                  </w:r>
                </w:p>
              </w:tc>
              <w:tc>
                <w:tcPr>
                  <w:tcW w:w="12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生产厂家回收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危险废物</w:t>
                  </w: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废辅料包装物</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HW49</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900-041-49</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辅料使用</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0.1135</w:t>
                  </w:r>
                </w:p>
              </w:tc>
              <w:tc>
                <w:tcPr>
                  <w:tcW w:w="125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收集于厂区危废暂存间，定期送安徽浩悦环境科技有限责</w:t>
                  </w:r>
                </w:p>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任公司处置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废液压油桶、废真空泵油桶、废导轨油桶</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HW08</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900-249-08</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液压油、真空泵油、导轨油使用</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0.0475</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废电解液</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HW17</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336-064-17</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更换电解液</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3.72</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含乙醇棉布</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HW49</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900-041-49</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设备擦拭清洗</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0.02</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废抹布和手套</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HW49</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900-041-49</w:t>
                  </w:r>
                </w:p>
              </w:tc>
              <w:tc>
                <w:tcPr>
                  <w:tcW w:w="127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金属切削</w:t>
                  </w:r>
                  <w:r>
                    <w:rPr>
                      <w:rFonts w:hint="eastAsia"/>
                      <w:highlight w:val="none"/>
                    </w:rPr>
                    <w:t>、</w:t>
                  </w:r>
                  <w:r>
                    <w:rPr>
                      <w:color w:val="000000" w:themeColor="text1"/>
                      <w:highlight w:val="none"/>
                      <w14:textFill>
                        <w14:solidFill>
                          <w14:schemeClr w14:val="tx1"/>
                        </w14:solidFill>
                      </w14:textFill>
                    </w:rPr>
                    <w:t>磨加工</w:t>
                  </w:r>
                  <w:r>
                    <w:rPr>
                      <w:rFonts w:hint="eastAsia"/>
                      <w:color w:val="000000" w:themeColor="text1"/>
                      <w:highlight w:val="none"/>
                      <w14:textFill>
                        <w14:solidFill>
                          <w14:schemeClr w14:val="tx1"/>
                        </w14:solidFill>
                      </w14:textFill>
                    </w:rPr>
                    <w:t>、</w:t>
                  </w:r>
                  <w:r>
                    <w:rPr>
                      <w:rFonts w:hint="eastAsia"/>
                      <w:highlight w:val="none"/>
                    </w:rPr>
                    <w:t>产品检测等</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eastAsia" w:eastAsia="宋体"/>
                      <w:highlight w:val="none"/>
                      <w:lang w:eastAsia="zh-CN"/>
                    </w:rPr>
                  </w:pPr>
                  <w:r>
                    <w:rPr>
                      <w:rFonts w:hint="eastAsia"/>
                      <w:highlight w:val="none"/>
                      <w:lang w:val="en-US" w:eastAsia="zh-CN"/>
                    </w:rPr>
                    <w:t>1</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废切削液</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HW09</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900-006-09</w:t>
                  </w:r>
                </w:p>
              </w:tc>
              <w:tc>
                <w:tcPr>
                  <w:tcW w:w="127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20</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废测试液</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HW09</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900-007-09</w:t>
                  </w:r>
                </w:p>
              </w:tc>
              <w:tc>
                <w:tcPr>
                  <w:tcW w:w="127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1.682</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rFonts w:hint="default" w:eastAsia="宋体"/>
                      <w:highlight w:val="none"/>
                      <w:lang w:val="en-US" w:eastAsia="zh-CN"/>
                    </w:rPr>
                  </w:pPr>
                  <w:r>
                    <w:rPr>
                      <w:highlight w:val="none"/>
                    </w:rPr>
                    <w:t>废润滑油</w:t>
                  </w:r>
                  <w:r>
                    <w:rPr>
                      <w:rFonts w:hint="eastAsia"/>
                      <w:highlight w:val="none"/>
                      <w:lang w:val="en-US" w:eastAsia="zh-CN"/>
                    </w:rPr>
                    <w:t>及废润滑油桶</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HW08</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900-214-08</w:t>
                  </w:r>
                </w:p>
              </w:tc>
              <w:tc>
                <w:tcPr>
                  <w:tcW w:w="127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3.7</w:t>
                  </w:r>
                  <w:r>
                    <w:rPr>
                      <w:rFonts w:hint="eastAsia"/>
                      <w:highlight w:val="none"/>
                    </w:rPr>
                    <w:t>512</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含油滤渣</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HW08</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900-200-08</w:t>
                  </w:r>
                </w:p>
              </w:tc>
              <w:tc>
                <w:tcPr>
                  <w:tcW w:w="1276"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0.5</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废气处理废活性炭</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HW49</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900-041-19</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废气吸收</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7.0796</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污水处理污泥</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HW19</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900-041-49</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废水处理</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1.36</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生活垃圾</w:t>
                  </w: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生活垃圾</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办公生活</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70.2</w:t>
                  </w:r>
                </w:p>
              </w:tc>
              <w:tc>
                <w:tcPr>
                  <w:tcW w:w="125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由环卫工人统一清运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餐饮垃圾</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食堂</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127.75</w:t>
                  </w:r>
                </w:p>
              </w:tc>
              <w:tc>
                <w:tcPr>
                  <w:tcW w:w="125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资源单位收集处置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废油脂</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油水分离器</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0.39</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jc w:val="center"/>
              </w:trPr>
              <w:tc>
                <w:tcPr>
                  <w:tcW w:w="113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c>
                <w:tcPr>
                  <w:tcW w:w="113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化粪池污泥</w:t>
                  </w:r>
                </w:p>
              </w:tc>
              <w:tc>
                <w:tcPr>
                  <w:tcW w:w="93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w:t>
                  </w:r>
                </w:p>
              </w:tc>
              <w:tc>
                <w:tcPr>
                  <w:tcW w:w="1324"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w:t>
                  </w:r>
                </w:p>
              </w:tc>
              <w:tc>
                <w:tcPr>
                  <w:tcW w:w="1276"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化粪池</w:t>
                  </w:r>
                </w:p>
              </w:tc>
              <w:tc>
                <w:tcPr>
                  <w:tcW w:w="867"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t>4</w:t>
                  </w:r>
                </w:p>
              </w:tc>
              <w:tc>
                <w:tcPr>
                  <w:tcW w:w="125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p>
              </w:tc>
            </w:tr>
          </w:tbl>
          <w:p>
            <w:pPr>
              <w:pStyle w:val="8"/>
              <w:keepNext w:val="0"/>
              <w:keepLines w:val="0"/>
              <w:pageBreakBefore w:val="0"/>
              <w:kinsoku/>
              <w:wordWrap/>
              <w:overflowPunct w:val="0"/>
              <w:topLinePunct w:val="0"/>
              <w:autoSpaceDE w:val="0"/>
              <w:autoSpaceDN w:val="0"/>
              <w:bidi w:val="0"/>
              <w:adjustRightInd w:val="0"/>
              <w:snapToGrid w:val="0"/>
              <w:ind w:firstLine="482"/>
              <w:textAlignment w:val="baseline"/>
              <w:rPr>
                <w:b/>
                <w:bCs/>
                <w:highlight w:val="none"/>
                <w:lang w:eastAsia="zh-CN"/>
              </w:rPr>
            </w:pPr>
            <w:r>
              <w:rPr>
                <w:rFonts w:hint="eastAsia"/>
                <w:b/>
                <w:bCs/>
                <w:highlight w:val="none"/>
                <w:lang w:eastAsia="zh-CN"/>
              </w:rPr>
              <w:t>5、存在问题及整改要求：</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eastAsia"/>
                <w:highlight w:val="none"/>
                <w:lang w:eastAsia="zh-CN"/>
              </w:rPr>
            </w:pPr>
            <w:r>
              <w:rPr>
                <w:rFonts w:hint="eastAsia"/>
                <w:highlight w:val="none"/>
                <w:lang w:eastAsia="zh-CN"/>
              </w:rPr>
              <w:t>现有项目位于合肥高新区柏堰科技园宁西路108号马瑞利动力系统（合肥）有限公司厂区内，本次扩建项目装配工序位于利用现有厂房内空置车间进行生产，现有注塑废气通过集气罩收集后经二级活性炭吸附后通过15m高排气筒（DA00</w:t>
            </w:r>
            <w:r>
              <w:rPr>
                <w:rFonts w:hint="eastAsia"/>
                <w:highlight w:val="none"/>
                <w:lang w:val="en-US" w:eastAsia="zh-CN"/>
              </w:rPr>
              <w:t>1</w:t>
            </w:r>
            <w:r>
              <w:rPr>
                <w:rFonts w:hint="eastAsia"/>
                <w:highlight w:val="none"/>
                <w:lang w:eastAsia="zh-CN"/>
              </w:rPr>
              <w:t>）排放；现有测试液废气采用</w:t>
            </w:r>
            <w:r>
              <w:rPr>
                <w:highlight w:val="none"/>
              </w:rPr>
              <w:t>油雾净化器</w:t>
            </w:r>
            <w:r>
              <w:rPr>
                <w:rFonts w:hint="eastAsia"/>
                <w:highlight w:val="none"/>
                <w:lang w:eastAsia="zh-CN"/>
              </w:rPr>
              <w:t>（喷淋+电离吸附+一级活性炭吸附）处理后通过15m高排气筒（DA002）排放；现有机加工工序切削液废气采用</w:t>
            </w:r>
            <w:r>
              <w:rPr>
                <w:highlight w:val="none"/>
              </w:rPr>
              <w:t>油雾净化器</w:t>
            </w:r>
            <w:r>
              <w:rPr>
                <w:rFonts w:hint="eastAsia"/>
                <w:highlight w:val="none"/>
                <w:lang w:eastAsia="zh-CN"/>
              </w:rPr>
              <w:t>（电离吸附+一级活性炭吸附）处理后通过15m高排气筒（DA00</w:t>
            </w:r>
            <w:r>
              <w:rPr>
                <w:rFonts w:hint="eastAsia"/>
                <w:highlight w:val="none"/>
                <w:lang w:val="en-US" w:eastAsia="zh-CN"/>
              </w:rPr>
              <w:t>3</w:t>
            </w:r>
            <w:r>
              <w:rPr>
                <w:rFonts w:hint="eastAsia"/>
                <w:highlight w:val="none"/>
                <w:lang w:eastAsia="zh-CN"/>
              </w:rPr>
              <w:t>）有组织排放；现有测试、乙醇擦拭废气通过集气罩收集后经二级活性炭吸附后通过15m高排气筒（DA004）排放。现有污染物治理措施合理，现场标识标牌已张贴，排污口已规范化设置，危废间、化学品库均已规范建设。</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根据现场调查，厂区现存在的主要环境问题及整改要求如下：</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（1）主要环境问题</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现有项目实施过程中存在部分管理和制度完善问题，环境管理台账记录不规范。</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r>
              <w:rPr>
                <w:rFonts w:hint="eastAsia"/>
                <w:highlight w:val="none"/>
                <w:lang w:eastAsia="zh-CN"/>
              </w:rPr>
              <w:t>（2）整改要求</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rFonts w:hint="eastAsia"/>
                <w:highlight w:val="none"/>
                <w:lang w:eastAsia="zh-CN"/>
              </w:rPr>
            </w:pPr>
            <w:r>
              <w:rPr>
                <w:rFonts w:hint="eastAsia"/>
                <w:highlight w:val="none"/>
                <w:lang w:eastAsia="zh-CN"/>
              </w:rPr>
              <w:t>加强厂区环境管理，落实和完善环境管理规章制度，按要求做好厂区环境管理台账记录，并至少保存5年。</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86"/>
              <w:gridCol w:w="3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40" w:type="dxa"/>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position w:val="-100"/>
                      <w:highlight w:val="none"/>
                    </w:rPr>
                    <w:drawing>
                      <wp:inline distT="0" distB="0" distL="0" distR="0">
                        <wp:extent cx="2443480" cy="3239770"/>
                        <wp:effectExtent l="0" t="0" r="13970" b="17780"/>
                        <wp:docPr id="48" name="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 48"/>
                                <pic:cNvPicPr>
                                  <a:picLocks noChangeAspect="1"/>
                                </pic:cNvPicPr>
                              </pic:nvPicPr>
                              <pic:blipFill>
                                <a:blip r:embed="rId28"/>
                                <a:stretch>
                                  <a:fillRect/>
                                </a:stretch>
                              </pic:blipFill>
                              <pic:spPr>
                                <a:xfrm>
                                  <a:off x="0" y="0"/>
                                  <a:ext cx="2443480" cy="3239770"/>
                                </a:xfrm>
                                <a:prstGeom prst="rect">
                                  <a:avLst/>
                                </a:prstGeom>
                              </pic:spPr>
                            </pic:pic>
                          </a:graphicData>
                        </a:graphic>
                      </wp:inline>
                    </w:drawing>
                  </w:r>
                </w:p>
              </w:tc>
              <w:tc>
                <w:tcPr>
                  <w:tcW w:w="3940" w:type="dxa"/>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position w:val="-98"/>
                      <w:highlight w:val="none"/>
                    </w:rPr>
                    <w:drawing>
                      <wp:inline distT="0" distB="0" distL="0" distR="0">
                        <wp:extent cx="2050415" cy="3239770"/>
                        <wp:effectExtent l="0" t="0" r="6985" b="17780"/>
                        <wp:docPr id="50" name="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 50"/>
                                <pic:cNvPicPr>
                                  <a:picLocks noChangeAspect="1"/>
                                </pic:cNvPicPr>
                              </pic:nvPicPr>
                              <pic:blipFill>
                                <a:blip r:embed="rId29"/>
                                <a:stretch>
                                  <a:fillRect/>
                                </a:stretch>
                              </pic:blipFill>
                              <pic:spPr>
                                <a:xfrm>
                                  <a:off x="0" y="0"/>
                                  <a:ext cx="2050415" cy="32397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40" w:type="dxa"/>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注塑废气处理措施</w:t>
                  </w:r>
                </w:p>
              </w:tc>
              <w:tc>
                <w:tcPr>
                  <w:tcW w:w="3940" w:type="dxa"/>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测试废气处理设施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40" w:type="dxa"/>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position w:val="-102"/>
                      <w:highlight w:val="none"/>
                    </w:rPr>
                    <w:drawing>
                      <wp:inline distT="0" distB="0" distL="0" distR="0">
                        <wp:extent cx="2433320" cy="3239770"/>
                        <wp:effectExtent l="0" t="0" r="5080" b="17780"/>
                        <wp:docPr id="52" name="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 52"/>
                                <pic:cNvPicPr>
                                  <a:picLocks noChangeAspect="1"/>
                                </pic:cNvPicPr>
                              </pic:nvPicPr>
                              <pic:blipFill>
                                <a:blip r:embed="rId30"/>
                                <a:stretch>
                                  <a:fillRect/>
                                </a:stretch>
                              </pic:blipFill>
                              <pic:spPr>
                                <a:xfrm>
                                  <a:off x="0" y="0"/>
                                  <a:ext cx="2433320" cy="3239770"/>
                                </a:xfrm>
                                <a:prstGeom prst="rect">
                                  <a:avLst/>
                                </a:prstGeom>
                              </pic:spPr>
                            </pic:pic>
                          </a:graphicData>
                        </a:graphic>
                      </wp:inline>
                    </w:drawing>
                  </w:r>
                </w:p>
              </w:tc>
              <w:tc>
                <w:tcPr>
                  <w:tcW w:w="3940" w:type="dxa"/>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rFonts w:hint="eastAsia"/>
                      <w:highlight w:val="none"/>
                    </w:rPr>
                    <w:drawing>
                      <wp:inline distT="0" distB="0" distL="114300" distR="114300">
                        <wp:extent cx="2052320" cy="3239770"/>
                        <wp:effectExtent l="0" t="0" r="5080" b="17780"/>
                        <wp:docPr id="12" name="图片 12" descr="c79d54b93a917e68af00193d1f2706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79d54b93a917e68af00193d1f2706cd"/>
                                <pic:cNvPicPr>
                                  <a:picLocks noChangeAspect="1"/>
                                </pic:cNvPicPr>
                              </pic:nvPicPr>
                              <pic:blipFill>
                                <a:blip r:embed="rId31"/>
                                <a:srcRect t="11263"/>
                                <a:stretch>
                                  <a:fillRect/>
                                </a:stretch>
                              </pic:blipFill>
                              <pic:spPr>
                                <a:xfrm>
                                  <a:off x="0" y="0"/>
                                  <a:ext cx="2052320" cy="32397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40" w:type="dxa"/>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lang w:eastAsia="en-US"/>
                    </w:rPr>
                  </w:pPr>
                  <w:r>
                    <w:rPr>
                      <w:highlight w:val="none"/>
                    </w:rPr>
                    <w:t>切削液废气处理措施</w:t>
                  </w:r>
                </w:p>
              </w:tc>
              <w:tc>
                <w:tcPr>
                  <w:tcW w:w="3940" w:type="dxa"/>
                </w:tcPr>
                <w:p>
                  <w:pPr>
                    <w:pStyle w:val="17"/>
                    <w:keepNext w:val="0"/>
                    <w:keepLines w:val="0"/>
                    <w:pageBreakBefore w:val="0"/>
                    <w:kinsoku/>
                    <w:wordWrap/>
                    <w:overflowPunct w:val="0"/>
                    <w:topLinePunct w:val="0"/>
                    <w:autoSpaceDE w:val="0"/>
                    <w:autoSpaceDN w:val="0"/>
                    <w:bidi w:val="0"/>
                    <w:adjustRightInd w:val="0"/>
                    <w:snapToGrid w:val="0"/>
                    <w:textAlignment w:val="baseline"/>
                    <w:rPr>
                      <w:highlight w:val="none"/>
                    </w:rPr>
                  </w:pPr>
                  <w:r>
                    <w:rPr>
                      <w:highlight w:val="none"/>
                    </w:rPr>
                    <w:t>测试、乙醇擦拭废气处理措施</w:t>
                  </w:r>
                </w:p>
              </w:tc>
            </w:tr>
          </w:tbl>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highlight w:val="none"/>
                <w:lang w:eastAsia="zh-CN"/>
              </w:rPr>
            </w:pPr>
          </w:p>
        </w:tc>
      </w:tr>
    </w:tbl>
    <w:p>
      <w:pPr>
        <w:rPr>
          <w:lang w:eastAsia="zh-CN"/>
        </w:rPr>
      </w:pPr>
    </w:p>
    <w:p>
      <w:pPr>
        <w:rPr>
          <w:lang w:eastAsia="zh-CN"/>
        </w:rPr>
        <w:sectPr>
          <w:pgSz w:w="11906" w:h="16838"/>
          <w:pgMar w:top="1701" w:right="1531" w:bottom="1701" w:left="1531" w:header="851" w:footer="992" w:gutter="0"/>
          <w:cols w:space="425" w:num="1"/>
          <w:docGrid w:type="lines" w:linePitch="312" w:charSpace="0"/>
        </w:sectPr>
      </w:pPr>
    </w:p>
    <w:p>
      <w:pPr>
        <w:jc w:val="center"/>
        <w:outlineLvl w:val="0"/>
        <w:rPr>
          <w:b/>
          <w:bCs/>
          <w:sz w:val="30"/>
          <w:szCs w:val="30"/>
          <w:lang w:eastAsia="zh-CN"/>
        </w:rPr>
      </w:pPr>
      <w:r>
        <w:rPr>
          <w:rFonts w:hint="eastAsia"/>
          <w:b/>
          <w:bCs/>
          <w:sz w:val="30"/>
          <w:szCs w:val="30"/>
          <w:lang w:eastAsia="zh-CN"/>
        </w:rPr>
        <w:t>三、区域环境质量现状、环境保护目标及评价标准</w:t>
      </w:r>
    </w:p>
    <w:tbl>
      <w:tblPr>
        <w:tblStyle w:val="21"/>
        <w:tblW w:w="8988" w:type="dxa"/>
        <w:tblInd w:w="7" w:type="dxa"/>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autofit"/>
        <w:tblCellMar>
          <w:top w:w="0" w:type="dxa"/>
          <w:left w:w="0" w:type="dxa"/>
          <w:bottom w:w="0" w:type="dxa"/>
          <w:right w:w="0" w:type="dxa"/>
        </w:tblCellMar>
      </w:tblPr>
      <w:tblGrid>
        <w:gridCol w:w="831"/>
        <w:gridCol w:w="8157"/>
      </w:tblGrid>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578" w:hRule="atLeast"/>
        </w:trPr>
        <w:tc>
          <w:tcPr>
            <w:tcW w:w="831" w:type="dxa"/>
            <w:tcBorders>
              <w:right w:val="single" w:color="000000" w:sz="2" w:space="0"/>
            </w:tcBorders>
            <w:vAlign w:val="center"/>
          </w:tcPr>
          <w:p>
            <w:pPr>
              <w:keepNext w:val="0"/>
              <w:keepLines w:val="0"/>
              <w:pageBreakBefore w:val="0"/>
              <w:kinsoku/>
              <w:wordWrap/>
              <w:overflowPunct w:val="0"/>
              <w:topLinePunct w:val="0"/>
              <w:bidi w:val="0"/>
              <w:jc w:val="center"/>
              <w:rPr>
                <w:highlight w:val="none"/>
              </w:rPr>
            </w:pPr>
            <w:r>
              <w:rPr>
                <w:rFonts w:hint="eastAsia"/>
                <w:highlight w:val="none"/>
              </w:rPr>
              <w:t>区域环境质量现状</w:t>
            </w:r>
          </w:p>
        </w:tc>
        <w:tc>
          <w:tcPr>
            <w:tcW w:w="8157" w:type="dxa"/>
            <w:tcBorders>
              <w:left w:val="single" w:color="000000" w:sz="2" w:space="0"/>
            </w:tcBorders>
          </w:tcPr>
          <w:p>
            <w:pPr>
              <w:pStyle w:val="8"/>
              <w:keepNext w:val="0"/>
              <w:keepLines w:val="0"/>
              <w:pageBreakBefore w:val="0"/>
              <w:kinsoku/>
              <w:wordWrap/>
              <w:overflowPunct w:val="0"/>
              <w:topLinePunct w:val="0"/>
              <w:bidi w:val="0"/>
              <w:ind w:firstLine="482"/>
              <w:rPr>
                <w:highlight w:val="none"/>
                <w:lang w:eastAsia="zh-CN"/>
              </w:rPr>
            </w:pPr>
            <w:r>
              <w:rPr>
                <w:rFonts w:hint="eastAsia"/>
                <w:b/>
                <w:bCs/>
                <w:highlight w:val="none"/>
                <w:lang w:eastAsia="zh-CN"/>
              </w:rPr>
              <w:t>1、大气环境</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根据《建设项目环境影响报告表编制技术指南（污染影响类）》（试行）中要求，常规污染物引用合肥市生态环境局公布的《2024年合肥市生态环境状况公报》进行分析评价。2024年，全年空气质量达到优的天数为83天，良好232天，优良率为86.1%。2024年度合肥市环境空气基本污染物现状浓度见下表：</w:t>
            </w:r>
          </w:p>
          <w:p>
            <w:pPr>
              <w:pStyle w:val="18"/>
              <w:keepNext w:val="0"/>
              <w:keepLines w:val="0"/>
              <w:pageBreakBefore w:val="0"/>
              <w:kinsoku/>
              <w:wordWrap/>
              <w:overflowPunct w:val="0"/>
              <w:topLinePunct w:val="0"/>
              <w:bidi w:val="0"/>
              <w:rPr>
                <w:highlight w:val="none"/>
                <w:lang w:eastAsia="zh-CN"/>
              </w:rPr>
            </w:pPr>
            <w:r>
              <w:rPr>
                <w:highlight w:val="none"/>
                <w:lang w:eastAsia="zh-CN"/>
              </w:rPr>
              <w:t>表3-1  区域环境空气质量现状评价表</w:t>
            </w:r>
          </w:p>
          <w:tbl>
            <w:tblPr>
              <w:tblStyle w:val="21"/>
              <w:tblW w:w="490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49"/>
              <w:gridCol w:w="3361"/>
              <w:gridCol w:w="998"/>
              <w:gridCol w:w="931"/>
              <w:gridCol w:w="957"/>
              <w:gridCol w:w="99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jc w:val="center"/>
              </w:trPr>
              <w:tc>
                <w:tcPr>
                  <w:tcW w:w="468" w:type="pct"/>
                  <w:vAlign w:val="center"/>
                </w:tcPr>
                <w:p>
                  <w:pPr>
                    <w:pStyle w:val="17"/>
                    <w:keepNext w:val="0"/>
                    <w:keepLines w:val="0"/>
                    <w:pageBreakBefore w:val="0"/>
                    <w:kinsoku/>
                    <w:wordWrap/>
                    <w:overflowPunct w:val="0"/>
                    <w:topLinePunct w:val="0"/>
                    <w:bidi w:val="0"/>
                    <w:rPr>
                      <w:highlight w:val="none"/>
                    </w:rPr>
                  </w:pPr>
                  <w:r>
                    <w:rPr>
                      <w:highlight w:val="none"/>
                    </w:rPr>
                    <w:t>污染物</w:t>
                  </w:r>
                </w:p>
              </w:tc>
              <w:tc>
                <w:tcPr>
                  <w:tcW w:w="2101" w:type="pct"/>
                  <w:vAlign w:val="center"/>
                </w:tcPr>
                <w:p>
                  <w:pPr>
                    <w:pStyle w:val="17"/>
                    <w:keepNext w:val="0"/>
                    <w:keepLines w:val="0"/>
                    <w:pageBreakBefore w:val="0"/>
                    <w:kinsoku/>
                    <w:wordWrap/>
                    <w:overflowPunct w:val="0"/>
                    <w:topLinePunct w:val="0"/>
                    <w:bidi w:val="0"/>
                    <w:rPr>
                      <w:highlight w:val="none"/>
                    </w:rPr>
                  </w:pPr>
                  <w:r>
                    <w:rPr>
                      <w:highlight w:val="none"/>
                    </w:rPr>
                    <w:t>年度评价指标</w:t>
                  </w:r>
                </w:p>
              </w:tc>
              <w:tc>
                <w:tcPr>
                  <w:tcW w:w="624" w:type="pct"/>
                  <w:vAlign w:val="center"/>
                </w:tcPr>
                <w:p>
                  <w:pPr>
                    <w:pStyle w:val="17"/>
                    <w:keepNext w:val="0"/>
                    <w:keepLines w:val="0"/>
                    <w:pageBreakBefore w:val="0"/>
                    <w:kinsoku/>
                    <w:wordWrap/>
                    <w:overflowPunct w:val="0"/>
                    <w:topLinePunct w:val="0"/>
                    <w:bidi w:val="0"/>
                    <w:rPr>
                      <w:highlight w:val="none"/>
                    </w:rPr>
                  </w:pPr>
                  <w:r>
                    <w:rPr>
                      <w:highlight w:val="none"/>
                    </w:rPr>
                    <w:t>现状浓度</w:t>
                  </w:r>
                </w:p>
                <w:p>
                  <w:pPr>
                    <w:pStyle w:val="17"/>
                    <w:keepNext w:val="0"/>
                    <w:keepLines w:val="0"/>
                    <w:pageBreakBefore w:val="0"/>
                    <w:kinsoku/>
                    <w:wordWrap/>
                    <w:overflowPunct w:val="0"/>
                    <w:topLinePunct w:val="0"/>
                    <w:bidi w:val="0"/>
                    <w:rPr>
                      <w:highlight w:val="none"/>
                    </w:rPr>
                  </w:pPr>
                  <w:r>
                    <w:rPr>
                      <w:highlight w:val="none"/>
                    </w:rPr>
                    <w:t>（</w:t>
                  </w:r>
                  <w:r>
                    <w:rPr>
                      <w:rFonts w:eastAsia="微软雅黑"/>
                      <w:highlight w:val="none"/>
                    </w:rPr>
                    <w:t>μ</w:t>
                  </w:r>
                  <w:r>
                    <w:rPr>
                      <w:highlight w:val="none"/>
                    </w:rPr>
                    <w:t>g/m³)</w:t>
                  </w:r>
                </w:p>
              </w:tc>
              <w:tc>
                <w:tcPr>
                  <w:tcW w:w="582" w:type="pct"/>
                  <w:vAlign w:val="center"/>
                </w:tcPr>
                <w:p>
                  <w:pPr>
                    <w:pStyle w:val="17"/>
                    <w:keepNext w:val="0"/>
                    <w:keepLines w:val="0"/>
                    <w:pageBreakBefore w:val="0"/>
                    <w:kinsoku/>
                    <w:wordWrap/>
                    <w:overflowPunct w:val="0"/>
                    <w:topLinePunct w:val="0"/>
                    <w:bidi w:val="0"/>
                    <w:rPr>
                      <w:highlight w:val="none"/>
                    </w:rPr>
                  </w:pPr>
                  <w:r>
                    <w:rPr>
                      <w:highlight w:val="none"/>
                    </w:rPr>
                    <w:t>标准值</w:t>
                  </w:r>
                </w:p>
                <w:p>
                  <w:pPr>
                    <w:pStyle w:val="17"/>
                    <w:keepNext w:val="0"/>
                    <w:keepLines w:val="0"/>
                    <w:pageBreakBefore w:val="0"/>
                    <w:kinsoku/>
                    <w:wordWrap/>
                    <w:overflowPunct w:val="0"/>
                    <w:topLinePunct w:val="0"/>
                    <w:bidi w:val="0"/>
                    <w:rPr>
                      <w:highlight w:val="none"/>
                    </w:rPr>
                  </w:pPr>
                  <w:r>
                    <w:rPr>
                      <w:highlight w:val="none"/>
                    </w:rPr>
                    <w:t>（</w:t>
                  </w:r>
                  <w:r>
                    <w:rPr>
                      <w:rFonts w:eastAsia="微软雅黑"/>
                      <w:highlight w:val="none"/>
                    </w:rPr>
                    <w:t>μ</w:t>
                  </w:r>
                  <w:r>
                    <w:rPr>
                      <w:highlight w:val="none"/>
                    </w:rPr>
                    <w:t>g/m³)</w:t>
                  </w:r>
                </w:p>
              </w:tc>
              <w:tc>
                <w:tcPr>
                  <w:tcW w:w="598" w:type="pct"/>
                  <w:vAlign w:val="center"/>
                </w:tcPr>
                <w:p>
                  <w:pPr>
                    <w:pStyle w:val="17"/>
                    <w:keepNext w:val="0"/>
                    <w:keepLines w:val="0"/>
                    <w:pageBreakBefore w:val="0"/>
                    <w:kinsoku/>
                    <w:wordWrap/>
                    <w:overflowPunct w:val="0"/>
                    <w:topLinePunct w:val="0"/>
                    <w:bidi w:val="0"/>
                    <w:rPr>
                      <w:highlight w:val="none"/>
                    </w:rPr>
                  </w:pPr>
                  <w:r>
                    <w:rPr>
                      <w:highlight w:val="none"/>
                    </w:rPr>
                    <w:t>占标率%</w:t>
                  </w:r>
                </w:p>
              </w:tc>
              <w:tc>
                <w:tcPr>
                  <w:tcW w:w="624" w:type="pct"/>
                  <w:vAlign w:val="center"/>
                </w:tcPr>
                <w:p>
                  <w:pPr>
                    <w:pStyle w:val="17"/>
                    <w:keepNext w:val="0"/>
                    <w:keepLines w:val="0"/>
                    <w:pageBreakBefore w:val="0"/>
                    <w:kinsoku/>
                    <w:wordWrap/>
                    <w:overflowPunct w:val="0"/>
                    <w:topLinePunct w:val="0"/>
                    <w:bidi w:val="0"/>
                    <w:rPr>
                      <w:highlight w:val="none"/>
                    </w:rPr>
                  </w:pPr>
                  <w:r>
                    <w:rPr>
                      <w:highlight w:val="none"/>
                    </w:rPr>
                    <w:t>达标情况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468" w:type="pct"/>
                  <w:vAlign w:val="center"/>
                </w:tcPr>
                <w:p>
                  <w:pPr>
                    <w:pStyle w:val="17"/>
                    <w:keepNext w:val="0"/>
                    <w:keepLines w:val="0"/>
                    <w:pageBreakBefore w:val="0"/>
                    <w:kinsoku/>
                    <w:wordWrap/>
                    <w:overflowPunct w:val="0"/>
                    <w:topLinePunct w:val="0"/>
                    <w:bidi w:val="0"/>
                    <w:rPr>
                      <w:highlight w:val="none"/>
                    </w:rPr>
                  </w:pPr>
                  <w:r>
                    <w:rPr>
                      <w:highlight w:val="none"/>
                    </w:rPr>
                    <w:t>SO</w:t>
                  </w:r>
                  <w:r>
                    <w:rPr>
                      <w:highlight w:val="none"/>
                      <w:vertAlign w:val="subscript"/>
                    </w:rPr>
                    <w:t>2</w:t>
                  </w:r>
                </w:p>
              </w:tc>
              <w:tc>
                <w:tcPr>
                  <w:tcW w:w="2101" w:type="pct"/>
                  <w:vAlign w:val="center"/>
                </w:tcPr>
                <w:p>
                  <w:pPr>
                    <w:pStyle w:val="17"/>
                    <w:keepNext w:val="0"/>
                    <w:keepLines w:val="0"/>
                    <w:pageBreakBefore w:val="0"/>
                    <w:kinsoku/>
                    <w:wordWrap/>
                    <w:overflowPunct w:val="0"/>
                    <w:topLinePunct w:val="0"/>
                    <w:bidi w:val="0"/>
                    <w:rPr>
                      <w:highlight w:val="none"/>
                    </w:rPr>
                  </w:pPr>
                  <w:r>
                    <w:rPr>
                      <w:highlight w:val="none"/>
                    </w:rPr>
                    <w:t>年平均质量浓度</w:t>
                  </w:r>
                </w:p>
              </w:tc>
              <w:tc>
                <w:tcPr>
                  <w:tcW w:w="624" w:type="pct"/>
                  <w:vAlign w:val="center"/>
                </w:tcPr>
                <w:p>
                  <w:pPr>
                    <w:pStyle w:val="17"/>
                    <w:keepNext w:val="0"/>
                    <w:keepLines w:val="0"/>
                    <w:pageBreakBefore w:val="0"/>
                    <w:kinsoku/>
                    <w:wordWrap/>
                    <w:overflowPunct w:val="0"/>
                    <w:topLinePunct w:val="0"/>
                    <w:bidi w:val="0"/>
                    <w:rPr>
                      <w:highlight w:val="none"/>
                    </w:rPr>
                  </w:pPr>
                  <w:r>
                    <w:rPr>
                      <w:rFonts w:hint="eastAsia"/>
                      <w:highlight w:val="none"/>
                    </w:rPr>
                    <w:t>6</w:t>
                  </w:r>
                </w:p>
              </w:tc>
              <w:tc>
                <w:tcPr>
                  <w:tcW w:w="582" w:type="pct"/>
                  <w:vAlign w:val="center"/>
                </w:tcPr>
                <w:p>
                  <w:pPr>
                    <w:pStyle w:val="17"/>
                    <w:keepNext w:val="0"/>
                    <w:keepLines w:val="0"/>
                    <w:pageBreakBefore w:val="0"/>
                    <w:kinsoku/>
                    <w:wordWrap/>
                    <w:overflowPunct w:val="0"/>
                    <w:topLinePunct w:val="0"/>
                    <w:bidi w:val="0"/>
                    <w:rPr>
                      <w:highlight w:val="none"/>
                    </w:rPr>
                  </w:pPr>
                  <w:r>
                    <w:rPr>
                      <w:highlight w:val="none"/>
                    </w:rPr>
                    <w:t>60</w:t>
                  </w:r>
                </w:p>
              </w:tc>
              <w:tc>
                <w:tcPr>
                  <w:tcW w:w="598" w:type="pct"/>
                  <w:vAlign w:val="center"/>
                </w:tcPr>
                <w:p>
                  <w:pPr>
                    <w:pStyle w:val="17"/>
                    <w:keepNext w:val="0"/>
                    <w:keepLines w:val="0"/>
                    <w:pageBreakBefore w:val="0"/>
                    <w:kinsoku/>
                    <w:wordWrap/>
                    <w:overflowPunct w:val="0"/>
                    <w:topLinePunct w:val="0"/>
                    <w:bidi w:val="0"/>
                    <w:rPr>
                      <w:highlight w:val="none"/>
                    </w:rPr>
                  </w:pPr>
                  <w:r>
                    <w:rPr>
                      <w:rFonts w:hint="eastAsia"/>
                      <w:highlight w:val="none"/>
                    </w:rPr>
                    <w:t>10.00</w:t>
                  </w:r>
                </w:p>
              </w:tc>
              <w:tc>
                <w:tcPr>
                  <w:tcW w:w="624" w:type="pct"/>
                  <w:vAlign w:val="center"/>
                </w:tcPr>
                <w:p>
                  <w:pPr>
                    <w:pStyle w:val="17"/>
                    <w:keepNext w:val="0"/>
                    <w:keepLines w:val="0"/>
                    <w:pageBreakBefore w:val="0"/>
                    <w:kinsoku/>
                    <w:wordWrap/>
                    <w:overflowPunct w:val="0"/>
                    <w:topLinePunct w:val="0"/>
                    <w:bidi w:val="0"/>
                    <w:rPr>
                      <w:highlight w:val="none"/>
                    </w:rPr>
                  </w:pPr>
                  <w:r>
                    <w:rPr>
                      <w:highlight w:val="none"/>
                    </w:rPr>
                    <w:t>达标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9" w:hRule="atLeast"/>
                <w:jc w:val="center"/>
              </w:trPr>
              <w:tc>
                <w:tcPr>
                  <w:tcW w:w="468" w:type="pct"/>
                  <w:vAlign w:val="center"/>
                </w:tcPr>
                <w:p>
                  <w:pPr>
                    <w:pStyle w:val="17"/>
                    <w:keepNext w:val="0"/>
                    <w:keepLines w:val="0"/>
                    <w:pageBreakBefore w:val="0"/>
                    <w:kinsoku/>
                    <w:wordWrap/>
                    <w:overflowPunct w:val="0"/>
                    <w:topLinePunct w:val="0"/>
                    <w:bidi w:val="0"/>
                    <w:rPr>
                      <w:highlight w:val="none"/>
                    </w:rPr>
                  </w:pPr>
                  <w:r>
                    <w:rPr>
                      <w:highlight w:val="none"/>
                    </w:rPr>
                    <w:t>NO</w:t>
                  </w:r>
                  <w:r>
                    <w:rPr>
                      <w:highlight w:val="none"/>
                      <w:vertAlign w:val="subscript"/>
                    </w:rPr>
                    <w:t>2</w:t>
                  </w:r>
                </w:p>
              </w:tc>
              <w:tc>
                <w:tcPr>
                  <w:tcW w:w="2101" w:type="pct"/>
                  <w:vAlign w:val="center"/>
                </w:tcPr>
                <w:p>
                  <w:pPr>
                    <w:pStyle w:val="17"/>
                    <w:keepNext w:val="0"/>
                    <w:keepLines w:val="0"/>
                    <w:pageBreakBefore w:val="0"/>
                    <w:kinsoku/>
                    <w:wordWrap/>
                    <w:overflowPunct w:val="0"/>
                    <w:topLinePunct w:val="0"/>
                    <w:bidi w:val="0"/>
                    <w:rPr>
                      <w:highlight w:val="none"/>
                    </w:rPr>
                  </w:pPr>
                  <w:r>
                    <w:rPr>
                      <w:highlight w:val="none"/>
                    </w:rPr>
                    <w:t>年平均质量浓度</w:t>
                  </w:r>
                </w:p>
              </w:tc>
              <w:tc>
                <w:tcPr>
                  <w:tcW w:w="624" w:type="pct"/>
                  <w:vAlign w:val="center"/>
                </w:tcPr>
                <w:p>
                  <w:pPr>
                    <w:pStyle w:val="17"/>
                    <w:keepNext w:val="0"/>
                    <w:keepLines w:val="0"/>
                    <w:pageBreakBefore w:val="0"/>
                    <w:kinsoku/>
                    <w:wordWrap/>
                    <w:overflowPunct w:val="0"/>
                    <w:topLinePunct w:val="0"/>
                    <w:bidi w:val="0"/>
                    <w:rPr>
                      <w:highlight w:val="none"/>
                    </w:rPr>
                  </w:pPr>
                  <w:r>
                    <w:rPr>
                      <w:rFonts w:hint="eastAsia"/>
                      <w:highlight w:val="none"/>
                    </w:rPr>
                    <w:t>27</w:t>
                  </w:r>
                </w:p>
              </w:tc>
              <w:tc>
                <w:tcPr>
                  <w:tcW w:w="582" w:type="pct"/>
                  <w:vAlign w:val="center"/>
                </w:tcPr>
                <w:p>
                  <w:pPr>
                    <w:pStyle w:val="17"/>
                    <w:keepNext w:val="0"/>
                    <w:keepLines w:val="0"/>
                    <w:pageBreakBefore w:val="0"/>
                    <w:kinsoku/>
                    <w:wordWrap/>
                    <w:overflowPunct w:val="0"/>
                    <w:topLinePunct w:val="0"/>
                    <w:bidi w:val="0"/>
                    <w:rPr>
                      <w:highlight w:val="none"/>
                    </w:rPr>
                  </w:pPr>
                  <w:r>
                    <w:rPr>
                      <w:highlight w:val="none"/>
                    </w:rPr>
                    <w:t>40</w:t>
                  </w:r>
                </w:p>
              </w:tc>
              <w:tc>
                <w:tcPr>
                  <w:tcW w:w="598" w:type="pct"/>
                  <w:vAlign w:val="center"/>
                </w:tcPr>
                <w:p>
                  <w:pPr>
                    <w:pStyle w:val="17"/>
                    <w:keepNext w:val="0"/>
                    <w:keepLines w:val="0"/>
                    <w:pageBreakBefore w:val="0"/>
                    <w:kinsoku/>
                    <w:wordWrap/>
                    <w:overflowPunct w:val="0"/>
                    <w:topLinePunct w:val="0"/>
                    <w:bidi w:val="0"/>
                    <w:rPr>
                      <w:highlight w:val="none"/>
                    </w:rPr>
                  </w:pPr>
                  <w:r>
                    <w:rPr>
                      <w:rFonts w:hint="eastAsia"/>
                      <w:highlight w:val="none"/>
                    </w:rPr>
                    <w:t>67.50</w:t>
                  </w:r>
                </w:p>
              </w:tc>
              <w:tc>
                <w:tcPr>
                  <w:tcW w:w="624" w:type="pct"/>
                  <w:vAlign w:val="center"/>
                </w:tcPr>
                <w:p>
                  <w:pPr>
                    <w:pStyle w:val="17"/>
                    <w:keepNext w:val="0"/>
                    <w:keepLines w:val="0"/>
                    <w:pageBreakBefore w:val="0"/>
                    <w:kinsoku/>
                    <w:wordWrap/>
                    <w:overflowPunct w:val="0"/>
                    <w:topLinePunct w:val="0"/>
                    <w:bidi w:val="0"/>
                    <w:rPr>
                      <w:highlight w:val="none"/>
                    </w:rPr>
                  </w:pPr>
                  <w:r>
                    <w:rPr>
                      <w:highlight w:val="none"/>
                    </w:rPr>
                    <w:t>达标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468" w:type="pct"/>
                  <w:vAlign w:val="center"/>
                </w:tcPr>
                <w:p>
                  <w:pPr>
                    <w:pStyle w:val="17"/>
                    <w:keepNext w:val="0"/>
                    <w:keepLines w:val="0"/>
                    <w:pageBreakBefore w:val="0"/>
                    <w:kinsoku/>
                    <w:wordWrap/>
                    <w:overflowPunct w:val="0"/>
                    <w:topLinePunct w:val="0"/>
                    <w:bidi w:val="0"/>
                    <w:rPr>
                      <w:highlight w:val="none"/>
                    </w:rPr>
                  </w:pPr>
                  <w:r>
                    <w:rPr>
                      <w:highlight w:val="none"/>
                    </w:rPr>
                    <w:t>PM</w:t>
                  </w:r>
                  <w:r>
                    <w:rPr>
                      <w:highlight w:val="none"/>
                      <w:vertAlign w:val="subscript"/>
                    </w:rPr>
                    <w:t>10</w:t>
                  </w:r>
                </w:p>
              </w:tc>
              <w:tc>
                <w:tcPr>
                  <w:tcW w:w="2101" w:type="pct"/>
                  <w:vAlign w:val="center"/>
                </w:tcPr>
                <w:p>
                  <w:pPr>
                    <w:pStyle w:val="17"/>
                    <w:keepNext w:val="0"/>
                    <w:keepLines w:val="0"/>
                    <w:pageBreakBefore w:val="0"/>
                    <w:kinsoku/>
                    <w:wordWrap/>
                    <w:overflowPunct w:val="0"/>
                    <w:topLinePunct w:val="0"/>
                    <w:bidi w:val="0"/>
                    <w:rPr>
                      <w:highlight w:val="none"/>
                    </w:rPr>
                  </w:pPr>
                  <w:r>
                    <w:rPr>
                      <w:highlight w:val="none"/>
                    </w:rPr>
                    <w:t>年平均质量浓度</w:t>
                  </w:r>
                </w:p>
              </w:tc>
              <w:tc>
                <w:tcPr>
                  <w:tcW w:w="624" w:type="pct"/>
                  <w:vAlign w:val="center"/>
                </w:tcPr>
                <w:p>
                  <w:pPr>
                    <w:pStyle w:val="17"/>
                    <w:keepNext w:val="0"/>
                    <w:keepLines w:val="0"/>
                    <w:pageBreakBefore w:val="0"/>
                    <w:kinsoku/>
                    <w:wordWrap/>
                    <w:overflowPunct w:val="0"/>
                    <w:topLinePunct w:val="0"/>
                    <w:bidi w:val="0"/>
                    <w:rPr>
                      <w:highlight w:val="none"/>
                    </w:rPr>
                  </w:pPr>
                  <w:r>
                    <w:rPr>
                      <w:rFonts w:hint="eastAsia"/>
                      <w:highlight w:val="none"/>
                    </w:rPr>
                    <w:t>57</w:t>
                  </w:r>
                </w:p>
              </w:tc>
              <w:tc>
                <w:tcPr>
                  <w:tcW w:w="582" w:type="pct"/>
                  <w:vAlign w:val="center"/>
                </w:tcPr>
                <w:p>
                  <w:pPr>
                    <w:pStyle w:val="17"/>
                    <w:keepNext w:val="0"/>
                    <w:keepLines w:val="0"/>
                    <w:pageBreakBefore w:val="0"/>
                    <w:kinsoku/>
                    <w:wordWrap/>
                    <w:overflowPunct w:val="0"/>
                    <w:topLinePunct w:val="0"/>
                    <w:bidi w:val="0"/>
                    <w:rPr>
                      <w:highlight w:val="none"/>
                    </w:rPr>
                  </w:pPr>
                  <w:r>
                    <w:rPr>
                      <w:rFonts w:hint="eastAsia"/>
                      <w:highlight w:val="none"/>
                      <w:lang w:val="en-US" w:eastAsia="zh-CN"/>
                    </w:rPr>
                    <w:t>7</w:t>
                  </w:r>
                  <w:r>
                    <w:rPr>
                      <w:highlight w:val="none"/>
                    </w:rPr>
                    <w:t>0</w:t>
                  </w:r>
                </w:p>
              </w:tc>
              <w:tc>
                <w:tcPr>
                  <w:tcW w:w="957" w:type="dxa"/>
                  <w:vAlign w:val="center"/>
                </w:tcPr>
                <w:p>
                  <w:pPr>
                    <w:pStyle w:val="17"/>
                    <w:keepNext w:val="0"/>
                    <w:keepLines w:val="0"/>
                    <w:pageBreakBefore w:val="0"/>
                    <w:kinsoku/>
                    <w:wordWrap/>
                    <w:overflowPunct w:val="0"/>
                    <w:topLinePunct w:val="0"/>
                    <w:bidi w:val="0"/>
                    <w:ind w:firstLine="0" w:firstLineChars="0"/>
                    <w:rPr>
                      <w:rFonts w:hint="default" w:eastAsia="宋体"/>
                      <w:highlight w:val="none"/>
                      <w:lang w:val="en-US" w:eastAsia="zh-CN"/>
                    </w:rPr>
                  </w:pPr>
                  <w:r>
                    <w:rPr>
                      <w:rFonts w:hint="eastAsia"/>
                      <w:highlight w:val="none"/>
                    </w:rPr>
                    <w:t>81.43</w:t>
                  </w:r>
                </w:p>
              </w:tc>
              <w:tc>
                <w:tcPr>
                  <w:tcW w:w="624" w:type="pct"/>
                  <w:vAlign w:val="center"/>
                </w:tcPr>
                <w:p>
                  <w:pPr>
                    <w:pStyle w:val="17"/>
                    <w:keepNext w:val="0"/>
                    <w:keepLines w:val="0"/>
                    <w:pageBreakBefore w:val="0"/>
                    <w:kinsoku/>
                    <w:wordWrap/>
                    <w:overflowPunct w:val="0"/>
                    <w:topLinePunct w:val="0"/>
                    <w:bidi w:val="0"/>
                    <w:rPr>
                      <w:highlight w:val="none"/>
                    </w:rPr>
                  </w:pPr>
                  <w:r>
                    <w:rPr>
                      <w:highlight w:val="none"/>
                    </w:rPr>
                    <w:t>达标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jc w:val="center"/>
              </w:trPr>
              <w:tc>
                <w:tcPr>
                  <w:tcW w:w="468" w:type="pct"/>
                  <w:vAlign w:val="center"/>
                </w:tcPr>
                <w:p>
                  <w:pPr>
                    <w:pStyle w:val="17"/>
                    <w:keepNext w:val="0"/>
                    <w:keepLines w:val="0"/>
                    <w:pageBreakBefore w:val="0"/>
                    <w:kinsoku/>
                    <w:wordWrap/>
                    <w:overflowPunct w:val="0"/>
                    <w:topLinePunct w:val="0"/>
                    <w:bidi w:val="0"/>
                    <w:rPr>
                      <w:highlight w:val="none"/>
                    </w:rPr>
                  </w:pPr>
                  <w:r>
                    <w:rPr>
                      <w:highlight w:val="none"/>
                    </w:rPr>
                    <w:t>PM</w:t>
                  </w:r>
                  <w:r>
                    <w:rPr>
                      <w:highlight w:val="none"/>
                      <w:vertAlign w:val="subscript"/>
                    </w:rPr>
                    <w:t>2.5</w:t>
                  </w:r>
                </w:p>
              </w:tc>
              <w:tc>
                <w:tcPr>
                  <w:tcW w:w="2101" w:type="pct"/>
                  <w:vAlign w:val="center"/>
                </w:tcPr>
                <w:p>
                  <w:pPr>
                    <w:pStyle w:val="17"/>
                    <w:keepNext w:val="0"/>
                    <w:keepLines w:val="0"/>
                    <w:pageBreakBefore w:val="0"/>
                    <w:kinsoku/>
                    <w:wordWrap/>
                    <w:overflowPunct w:val="0"/>
                    <w:topLinePunct w:val="0"/>
                    <w:bidi w:val="0"/>
                    <w:rPr>
                      <w:highlight w:val="none"/>
                    </w:rPr>
                  </w:pPr>
                  <w:r>
                    <w:rPr>
                      <w:highlight w:val="none"/>
                    </w:rPr>
                    <w:t>年平均质量浓度</w:t>
                  </w:r>
                </w:p>
              </w:tc>
              <w:tc>
                <w:tcPr>
                  <w:tcW w:w="624" w:type="pct"/>
                  <w:vAlign w:val="center"/>
                </w:tcPr>
                <w:p>
                  <w:pPr>
                    <w:pStyle w:val="17"/>
                    <w:keepNext w:val="0"/>
                    <w:keepLines w:val="0"/>
                    <w:pageBreakBefore w:val="0"/>
                    <w:kinsoku/>
                    <w:wordWrap/>
                    <w:overflowPunct w:val="0"/>
                    <w:topLinePunct w:val="0"/>
                    <w:bidi w:val="0"/>
                    <w:rPr>
                      <w:highlight w:val="none"/>
                    </w:rPr>
                  </w:pPr>
                  <w:r>
                    <w:rPr>
                      <w:rFonts w:hint="eastAsia"/>
                      <w:highlight w:val="none"/>
                    </w:rPr>
                    <w:t>33.7</w:t>
                  </w:r>
                </w:p>
              </w:tc>
              <w:tc>
                <w:tcPr>
                  <w:tcW w:w="582" w:type="pct"/>
                  <w:vAlign w:val="center"/>
                </w:tcPr>
                <w:p>
                  <w:pPr>
                    <w:pStyle w:val="17"/>
                    <w:keepNext w:val="0"/>
                    <w:keepLines w:val="0"/>
                    <w:pageBreakBefore w:val="0"/>
                    <w:kinsoku/>
                    <w:wordWrap/>
                    <w:overflowPunct w:val="0"/>
                    <w:topLinePunct w:val="0"/>
                    <w:bidi w:val="0"/>
                    <w:rPr>
                      <w:rFonts w:hint="eastAsia" w:eastAsia="宋体"/>
                      <w:highlight w:val="none"/>
                      <w:lang w:eastAsia="zh-CN"/>
                    </w:rPr>
                  </w:pPr>
                  <w:r>
                    <w:rPr>
                      <w:highlight w:val="none"/>
                    </w:rPr>
                    <w:t>3</w:t>
                  </w:r>
                  <w:r>
                    <w:rPr>
                      <w:rFonts w:hint="eastAsia"/>
                      <w:highlight w:val="none"/>
                      <w:lang w:val="en-US" w:eastAsia="zh-CN"/>
                    </w:rPr>
                    <w:t>5</w:t>
                  </w:r>
                </w:p>
              </w:tc>
              <w:tc>
                <w:tcPr>
                  <w:tcW w:w="957" w:type="dxa"/>
                  <w:vAlign w:val="center"/>
                </w:tcPr>
                <w:p>
                  <w:pPr>
                    <w:pStyle w:val="17"/>
                    <w:keepNext w:val="0"/>
                    <w:keepLines w:val="0"/>
                    <w:pageBreakBefore w:val="0"/>
                    <w:kinsoku/>
                    <w:wordWrap/>
                    <w:overflowPunct w:val="0"/>
                    <w:topLinePunct w:val="0"/>
                    <w:bidi w:val="0"/>
                    <w:ind w:firstLine="0" w:firstLineChars="0"/>
                    <w:rPr>
                      <w:rFonts w:hint="default" w:eastAsia="宋体"/>
                      <w:highlight w:val="none"/>
                      <w:lang w:val="en-US" w:eastAsia="zh-CN"/>
                    </w:rPr>
                  </w:pPr>
                  <w:r>
                    <w:rPr>
                      <w:rFonts w:hint="eastAsia"/>
                      <w:highlight w:val="none"/>
                    </w:rPr>
                    <w:t>96.29</w:t>
                  </w:r>
                </w:p>
              </w:tc>
              <w:tc>
                <w:tcPr>
                  <w:tcW w:w="624" w:type="pct"/>
                  <w:vAlign w:val="center"/>
                </w:tcPr>
                <w:p>
                  <w:pPr>
                    <w:pStyle w:val="17"/>
                    <w:keepNext w:val="0"/>
                    <w:keepLines w:val="0"/>
                    <w:pageBreakBefore w:val="0"/>
                    <w:kinsoku/>
                    <w:wordWrap/>
                    <w:overflowPunct w:val="0"/>
                    <w:topLinePunct w:val="0"/>
                    <w:bidi w:val="0"/>
                    <w:rPr>
                      <w:highlight w:val="none"/>
                    </w:rPr>
                  </w:pPr>
                  <w:r>
                    <w:rPr>
                      <w:highlight w:val="none"/>
                    </w:rPr>
                    <w:t>达标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jc w:val="center"/>
              </w:trPr>
              <w:tc>
                <w:tcPr>
                  <w:tcW w:w="468" w:type="pct"/>
                  <w:vAlign w:val="center"/>
                </w:tcPr>
                <w:p>
                  <w:pPr>
                    <w:pStyle w:val="17"/>
                    <w:keepNext w:val="0"/>
                    <w:keepLines w:val="0"/>
                    <w:pageBreakBefore w:val="0"/>
                    <w:kinsoku/>
                    <w:wordWrap/>
                    <w:overflowPunct w:val="0"/>
                    <w:topLinePunct w:val="0"/>
                    <w:bidi w:val="0"/>
                    <w:rPr>
                      <w:highlight w:val="none"/>
                    </w:rPr>
                  </w:pPr>
                  <w:r>
                    <w:rPr>
                      <w:highlight w:val="none"/>
                    </w:rPr>
                    <w:t>CO</w:t>
                  </w:r>
                </w:p>
              </w:tc>
              <w:tc>
                <w:tcPr>
                  <w:tcW w:w="2101" w:type="pct"/>
                  <w:vAlign w:val="center"/>
                </w:tcPr>
                <w:p>
                  <w:pPr>
                    <w:pStyle w:val="17"/>
                    <w:keepNext w:val="0"/>
                    <w:keepLines w:val="0"/>
                    <w:pageBreakBefore w:val="0"/>
                    <w:kinsoku/>
                    <w:wordWrap/>
                    <w:overflowPunct w:val="0"/>
                    <w:topLinePunct w:val="0"/>
                    <w:bidi w:val="0"/>
                    <w:rPr>
                      <w:highlight w:val="none"/>
                    </w:rPr>
                  </w:pPr>
                  <w:r>
                    <w:rPr>
                      <w:highlight w:val="none"/>
                    </w:rPr>
                    <w:t>24h平均浓度第95百分位数</w:t>
                  </w:r>
                </w:p>
              </w:tc>
              <w:tc>
                <w:tcPr>
                  <w:tcW w:w="624" w:type="pct"/>
                  <w:vAlign w:val="center"/>
                </w:tcPr>
                <w:p>
                  <w:pPr>
                    <w:pStyle w:val="17"/>
                    <w:keepNext w:val="0"/>
                    <w:keepLines w:val="0"/>
                    <w:pageBreakBefore w:val="0"/>
                    <w:kinsoku/>
                    <w:wordWrap/>
                    <w:overflowPunct w:val="0"/>
                    <w:topLinePunct w:val="0"/>
                    <w:bidi w:val="0"/>
                    <w:rPr>
                      <w:highlight w:val="none"/>
                    </w:rPr>
                  </w:pPr>
                  <w:r>
                    <w:rPr>
                      <w:rFonts w:hint="eastAsia"/>
                      <w:highlight w:val="none"/>
                    </w:rPr>
                    <w:t>10</w:t>
                  </w:r>
                  <w:r>
                    <w:rPr>
                      <w:highlight w:val="none"/>
                    </w:rPr>
                    <w:t>00</w:t>
                  </w:r>
                </w:p>
              </w:tc>
              <w:tc>
                <w:tcPr>
                  <w:tcW w:w="582" w:type="pct"/>
                  <w:vAlign w:val="center"/>
                </w:tcPr>
                <w:p>
                  <w:pPr>
                    <w:pStyle w:val="17"/>
                    <w:keepNext w:val="0"/>
                    <w:keepLines w:val="0"/>
                    <w:pageBreakBefore w:val="0"/>
                    <w:kinsoku/>
                    <w:wordWrap/>
                    <w:overflowPunct w:val="0"/>
                    <w:topLinePunct w:val="0"/>
                    <w:bidi w:val="0"/>
                    <w:rPr>
                      <w:highlight w:val="none"/>
                    </w:rPr>
                  </w:pPr>
                  <w:r>
                    <w:rPr>
                      <w:highlight w:val="none"/>
                    </w:rPr>
                    <w:t>4000</w:t>
                  </w:r>
                </w:p>
              </w:tc>
              <w:tc>
                <w:tcPr>
                  <w:tcW w:w="598" w:type="pct"/>
                  <w:vAlign w:val="center"/>
                </w:tcPr>
                <w:p>
                  <w:pPr>
                    <w:pStyle w:val="17"/>
                    <w:keepNext w:val="0"/>
                    <w:keepLines w:val="0"/>
                    <w:pageBreakBefore w:val="0"/>
                    <w:kinsoku/>
                    <w:wordWrap/>
                    <w:overflowPunct w:val="0"/>
                    <w:topLinePunct w:val="0"/>
                    <w:bidi w:val="0"/>
                    <w:rPr>
                      <w:highlight w:val="none"/>
                    </w:rPr>
                  </w:pPr>
                  <w:r>
                    <w:rPr>
                      <w:rFonts w:hint="eastAsia"/>
                      <w:highlight w:val="none"/>
                    </w:rPr>
                    <w:t>25.00</w:t>
                  </w:r>
                </w:p>
              </w:tc>
              <w:tc>
                <w:tcPr>
                  <w:tcW w:w="624" w:type="pct"/>
                  <w:vAlign w:val="center"/>
                </w:tcPr>
                <w:p>
                  <w:pPr>
                    <w:pStyle w:val="17"/>
                    <w:keepNext w:val="0"/>
                    <w:keepLines w:val="0"/>
                    <w:pageBreakBefore w:val="0"/>
                    <w:kinsoku/>
                    <w:wordWrap/>
                    <w:overflowPunct w:val="0"/>
                    <w:topLinePunct w:val="0"/>
                    <w:bidi w:val="0"/>
                    <w:rPr>
                      <w:highlight w:val="none"/>
                    </w:rPr>
                  </w:pPr>
                  <w:r>
                    <w:rPr>
                      <w:highlight w:val="none"/>
                    </w:rPr>
                    <w:t>达标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8" w:hRule="atLeast"/>
                <w:jc w:val="center"/>
              </w:trPr>
              <w:tc>
                <w:tcPr>
                  <w:tcW w:w="468" w:type="pct"/>
                  <w:vAlign w:val="center"/>
                </w:tcPr>
                <w:p>
                  <w:pPr>
                    <w:pStyle w:val="17"/>
                    <w:keepNext w:val="0"/>
                    <w:keepLines w:val="0"/>
                    <w:pageBreakBefore w:val="0"/>
                    <w:kinsoku/>
                    <w:wordWrap/>
                    <w:overflowPunct w:val="0"/>
                    <w:topLinePunct w:val="0"/>
                    <w:bidi w:val="0"/>
                    <w:rPr>
                      <w:highlight w:val="none"/>
                    </w:rPr>
                  </w:pPr>
                  <w:r>
                    <w:rPr>
                      <w:highlight w:val="none"/>
                    </w:rPr>
                    <w:t>O</w:t>
                  </w:r>
                  <w:r>
                    <w:rPr>
                      <w:highlight w:val="none"/>
                      <w:vertAlign w:val="subscript"/>
                    </w:rPr>
                    <w:t>3</w:t>
                  </w:r>
                </w:p>
              </w:tc>
              <w:tc>
                <w:tcPr>
                  <w:tcW w:w="2101" w:type="pct"/>
                  <w:vAlign w:val="center"/>
                </w:tcPr>
                <w:p>
                  <w:pPr>
                    <w:pStyle w:val="17"/>
                    <w:keepNext w:val="0"/>
                    <w:keepLines w:val="0"/>
                    <w:pageBreakBefore w:val="0"/>
                    <w:kinsoku/>
                    <w:wordWrap/>
                    <w:overflowPunct w:val="0"/>
                    <w:topLinePunct w:val="0"/>
                    <w:bidi w:val="0"/>
                    <w:rPr>
                      <w:highlight w:val="none"/>
                    </w:rPr>
                  </w:pPr>
                  <w:r>
                    <w:rPr>
                      <w:highlight w:val="none"/>
                    </w:rPr>
                    <w:t>最大8h平均浓度第90百分位数</w:t>
                  </w:r>
                </w:p>
              </w:tc>
              <w:tc>
                <w:tcPr>
                  <w:tcW w:w="624" w:type="pct"/>
                  <w:vAlign w:val="center"/>
                </w:tcPr>
                <w:p>
                  <w:pPr>
                    <w:pStyle w:val="17"/>
                    <w:keepNext w:val="0"/>
                    <w:keepLines w:val="0"/>
                    <w:pageBreakBefore w:val="0"/>
                    <w:kinsoku/>
                    <w:wordWrap/>
                    <w:overflowPunct w:val="0"/>
                    <w:topLinePunct w:val="0"/>
                    <w:bidi w:val="0"/>
                    <w:rPr>
                      <w:highlight w:val="none"/>
                    </w:rPr>
                  </w:pPr>
                  <w:r>
                    <w:rPr>
                      <w:highlight w:val="none"/>
                    </w:rPr>
                    <w:t>15</w:t>
                  </w:r>
                  <w:r>
                    <w:rPr>
                      <w:rFonts w:hint="eastAsia"/>
                      <w:highlight w:val="none"/>
                    </w:rPr>
                    <w:t>3</w:t>
                  </w:r>
                </w:p>
              </w:tc>
              <w:tc>
                <w:tcPr>
                  <w:tcW w:w="582" w:type="pct"/>
                  <w:vAlign w:val="center"/>
                </w:tcPr>
                <w:p>
                  <w:pPr>
                    <w:pStyle w:val="17"/>
                    <w:keepNext w:val="0"/>
                    <w:keepLines w:val="0"/>
                    <w:pageBreakBefore w:val="0"/>
                    <w:kinsoku/>
                    <w:wordWrap/>
                    <w:overflowPunct w:val="0"/>
                    <w:topLinePunct w:val="0"/>
                    <w:bidi w:val="0"/>
                    <w:rPr>
                      <w:highlight w:val="none"/>
                    </w:rPr>
                  </w:pPr>
                  <w:r>
                    <w:rPr>
                      <w:highlight w:val="none"/>
                    </w:rPr>
                    <w:t>160</w:t>
                  </w:r>
                </w:p>
              </w:tc>
              <w:tc>
                <w:tcPr>
                  <w:tcW w:w="598" w:type="pct"/>
                  <w:vAlign w:val="center"/>
                </w:tcPr>
                <w:p>
                  <w:pPr>
                    <w:pStyle w:val="17"/>
                    <w:keepNext w:val="0"/>
                    <w:keepLines w:val="0"/>
                    <w:pageBreakBefore w:val="0"/>
                    <w:kinsoku/>
                    <w:wordWrap/>
                    <w:overflowPunct w:val="0"/>
                    <w:topLinePunct w:val="0"/>
                    <w:bidi w:val="0"/>
                    <w:rPr>
                      <w:highlight w:val="none"/>
                    </w:rPr>
                  </w:pPr>
                  <w:r>
                    <w:rPr>
                      <w:rFonts w:hint="eastAsia"/>
                      <w:highlight w:val="none"/>
                    </w:rPr>
                    <w:t>95.63</w:t>
                  </w:r>
                </w:p>
              </w:tc>
              <w:tc>
                <w:tcPr>
                  <w:tcW w:w="624" w:type="pct"/>
                  <w:vAlign w:val="center"/>
                </w:tcPr>
                <w:p>
                  <w:pPr>
                    <w:pStyle w:val="17"/>
                    <w:keepNext w:val="0"/>
                    <w:keepLines w:val="0"/>
                    <w:pageBreakBefore w:val="0"/>
                    <w:kinsoku/>
                    <w:wordWrap/>
                    <w:overflowPunct w:val="0"/>
                    <w:topLinePunct w:val="0"/>
                    <w:bidi w:val="0"/>
                    <w:rPr>
                      <w:highlight w:val="none"/>
                    </w:rPr>
                  </w:pPr>
                  <w:r>
                    <w:rPr>
                      <w:highlight w:val="none"/>
                    </w:rPr>
                    <w:t>达标</w:t>
                  </w:r>
                </w:p>
              </w:tc>
            </w:tr>
          </w:tbl>
          <w:p>
            <w:pPr>
              <w:pStyle w:val="8"/>
              <w:keepNext w:val="0"/>
              <w:keepLines w:val="0"/>
              <w:pageBreakBefore w:val="0"/>
              <w:kinsoku/>
              <w:wordWrap/>
              <w:overflowPunct w:val="0"/>
              <w:topLinePunct w:val="0"/>
              <w:bidi w:val="0"/>
              <w:ind w:firstLine="480"/>
              <w:rPr>
                <w:highlight w:val="none"/>
                <w:lang w:eastAsia="zh-CN"/>
              </w:rPr>
            </w:pPr>
            <w:r>
              <w:rPr>
                <w:highlight w:val="none"/>
                <w:lang w:eastAsia="zh-CN"/>
              </w:rPr>
              <w:t>根据上表可知，202</w:t>
            </w:r>
            <w:r>
              <w:rPr>
                <w:rFonts w:hint="eastAsia"/>
                <w:highlight w:val="none"/>
                <w:lang w:eastAsia="zh-CN"/>
              </w:rPr>
              <w:t>4</w:t>
            </w:r>
            <w:r>
              <w:rPr>
                <w:highlight w:val="none"/>
                <w:lang w:eastAsia="zh-CN"/>
              </w:rPr>
              <w:t>年合肥市环境空气质量</w:t>
            </w:r>
            <w:r>
              <w:rPr>
                <w:rFonts w:hint="eastAsia"/>
                <w:highlight w:val="none"/>
                <w:lang w:val="en-US" w:eastAsia="zh-CN"/>
              </w:rPr>
              <w:t>中PM</w:t>
            </w:r>
            <w:r>
              <w:rPr>
                <w:rFonts w:hint="eastAsia"/>
                <w:highlight w:val="none"/>
                <w:vertAlign w:val="subscript"/>
                <w:lang w:val="en-US" w:eastAsia="zh-CN"/>
              </w:rPr>
              <w:t>2.5</w:t>
            </w:r>
            <w:r>
              <w:rPr>
                <w:highlight w:val="none"/>
                <w:lang w:eastAsia="zh-CN"/>
              </w:rPr>
              <w:t>满足《环境空气质量标准》（GB3095-20</w:t>
            </w:r>
            <w:r>
              <w:rPr>
                <w:rFonts w:hint="eastAsia"/>
                <w:highlight w:val="none"/>
                <w:lang w:val="en-US" w:eastAsia="zh-CN"/>
              </w:rPr>
              <w:t>12</w:t>
            </w:r>
            <w:r>
              <w:rPr>
                <w:highlight w:val="none"/>
                <w:lang w:eastAsia="zh-CN"/>
              </w:rPr>
              <w:t>）的二级标准限值，合肥市为达标区。</w:t>
            </w:r>
          </w:p>
          <w:p>
            <w:pPr>
              <w:pStyle w:val="8"/>
              <w:keepNext w:val="0"/>
              <w:keepLines w:val="0"/>
              <w:pageBreakBefore w:val="0"/>
              <w:kinsoku/>
              <w:wordWrap/>
              <w:overflowPunct w:val="0"/>
              <w:topLinePunct w:val="0"/>
              <w:bidi w:val="0"/>
              <w:ind w:firstLine="480"/>
              <w:rPr>
                <w:color w:val="auto"/>
                <w:highlight w:val="none"/>
                <w:lang w:eastAsia="zh-CN"/>
              </w:rPr>
            </w:pPr>
            <w:r>
              <w:rPr>
                <w:rFonts w:hint="eastAsia"/>
                <w:color w:val="auto"/>
                <w:highlight w:val="none"/>
                <w:lang w:eastAsia="zh-CN"/>
              </w:rPr>
              <w:t>2、地表水环境</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项目所在地属于合肥西部组团污水处理厂收水范围，餐饮废水经过油水分离器预处理后和生活污水进入化粪池处理，再排入污水总排口，综合污水接入市政污水管网排入西部组团污水处理厂处理，尾水排入派河截导污工程，最终进入巢湖。根据《2024年合肥市生态环境状况公报》，湖区水质：2024年，巢湖湖区水质为</w:t>
            </w:r>
            <w:r>
              <w:rPr>
                <w:rFonts w:cs="Times New Roman"/>
                <w:highlight w:val="none"/>
                <w:lang w:eastAsia="zh-CN"/>
              </w:rPr>
              <w:t>Ⅳ</w:t>
            </w:r>
            <w:r>
              <w:rPr>
                <w:rFonts w:hint="eastAsia"/>
                <w:highlight w:val="none"/>
                <w:lang w:eastAsia="zh-CN"/>
              </w:rPr>
              <w:t>类，呈轻度污染，营养状态呈轻度富营养状态，主要污染指标为总磷。东、西半湖均为</w:t>
            </w:r>
            <w:r>
              <w:rPr>
                <w:rFonts w:cs="Times New Roman"/>
                <w:highlight w:val="none"/>
                <w:lang w:eastAsia="zh-CN"/>
              </w:rPr>
              <w:t>Ⅳ</w:t>
            </w:r>
            <w:r>
              <w:rPr>
                <w:rFonts w:hint="eastAsia"/>
                <w:highlight w:val="none"/>
                <w:lang w:eastAsia="zh-CN"/>
              </w:rPr>
              <w:t>类，呈轻度污染。东、西半湖营养状态均为轻度富营养状态。与去年同期相比，东、西半湖及全湖水质类别无明显变化；东、西半湖及全湖营养状态无明显变化。</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主要污染指标中，南淝河的氨氮和总磷，十五里河的氨氮，派河的氨氮和化学需氧量浓度均呈下降趋势。南淝河氨氮和总磷浓度分别为0.74mg/L和0.163mg/L，较去年同期分别下降18.68%和4.12%；十五里河氨氮浓度为0.44mg/L，较去年同期下降2.22%；派河氨氮和化学需氧量浓度分别为0.30mg/L和16.3mg/L，较去年同期分别下降3.23%和4.12%。</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综上所述，巢湖水质不满足《地表水质量标准》（GB3838-2002）</w:t>
            </w:r>
            <w:r>
              <w:rPr>
                <w:rFonts w:cs="Times New Roman"/>
                <w:highlight w:val="none"/>
                <w:lang w:eastAsia="zh-CN"/>
              </w:rPr>
              <w:t>中Ⅲ</w:t>
            </w:r>
            <w:r>
              <w:rPr>
                <w:rFonts w:hint="eastAsia"/>
                <w:highlight w:val="none"/>
                <w:lang w:eastAsia="zh-CN"/>
              </w:rPr>
              <w:t>类标准。目前，合肥市已制定了一系列达标方案，包括加快流域污水处理厂建设和提标改造，雨污分流改造、管网完善及支流水环境综合整治等措施，确保各河流水质达标，改善对地表水环境质量。</w:t>
            </w:r>
          </w:p>
          <w:p>
            <w:pPr>
              <w:pStyle w:val="8"/>
              <w:keepNext w:val="0"/>
              <w:keepLines w:val="0"/>
              <w:pageBreakBefore w:val="0"/>
              <w:kinsoku/>
              <w:wordWrap/>
              <w:overflowPunct w:val="0"/>
              <w:topLinePunct w:val="0"/>
              <w:bidi w:val="0"/>
              <w:ind w:firstLine="482"/>
              <w:rPr>
                <w:b/>
                <w:bCs/>
                <w:highlight w:val="none"/>
                <w:lang w:eastAsia="zh-CN"/>
              </w:rPr>
            </w:pPr>
            <w:r>
              <w:rPr>
                <w:rFonts w:hint="eastAsia"/>
                <w:b/>
                <w:bCs/>
                <w:highlight w:val="none"/>
                <w:lang w:eastAsia="zh-CN"/>
              </w:rPr>
              <w:t>3、声环境</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项目厂界外50米范围内不存在声环境敏感目标，故无需进行声环境现状评价。</w:t>
            </w:r>
          </w:p>
          <w:p>
            <w:pPr>
              <w:pStyle w:val="8"/>
              <w:keepNext w:val="0"/>
              <w:keepLines w:val="0"/>
              <w:pageBreakBefore w:val="0"/>
              <w:kinsoku/>
              <w:wordWrap/>
              <w:overflowPunct w:val="0"/>
              <w:topLinePunct w:val="0"/>
              <w:bidi w:val="0"/>
              <w:ind w:firstLine="482"/>
              <w:rPr>
                <w:b/>
                <w:bCs/>
                <w:highlight w:val="none"/>
                <w:lang w:eastAsia="zh-CN"/>
              </w:rPr>
            </w:pPr>
            <w:r>
              <w:rPr>
                <w:rFonts w:hint="eastAsia"/>
                <w:b/>
                <w:bCs/>
                <w:highlight w:val="none"/>
                <w:lang w:eastAsia="zh-CN"/>
              </w:rPr>
              <w:t>4、生态环境</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根据《建设项目环境影响报告表编制技术指南（污染影响类）（试行）》的要求，产业园区外建设项目新增用地且用地范围内含有生态环境保护目标时，应进行生态现状调查。本项目不属于产业园区外建设项目新增用地情形，无需开展生态环境现状调查。</w:t>
            </w:r>
          </w:p>
          <w:p>
            <w:pPr>
              <w:pStyle w:val="8"/>
              <w:keepNext w:val="0"/>
              <w:keepLines w:val="0"/>
              <w:pageBreakBefore w:val="0"/>
              <w:kinsoku/>
              <w:wordWrap/>
              <w:overflowPunct w:val="0"/>
              <w:topLinePunct w:val="0"/>
              <w:bidi w:val="0"/>
              <w:ind w:firstLine="482"/>
              <w:rPr>
                <w:b/>
                <w:bCs/>
                <w:highlight w:val="none"/>
                <w:lang w:eastAsia="zh-CN"/>
              </w:rPr>
            </w:pPr>
            <w:r>
              <w:rPr>
                <w:rFonts w:hint="eastAsia"/>
                <w:b/>
                <w:bCs/>
                <w:highlight w:val="none"/>
                <w:lang w:eastAsia="zh-CN"/>
              </w:rPr>
              <w:t>5、电磁辐射</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本项目不属于《建设项目环境影响报告表编制技术指南（污染影响类）（试行）》所列的需要开展电磁辐射现状调查与评价情形，因此不开展相关调查与评价，因此不开展电磁辐射现状调查与评价。</w:t>
            </w:r>
          </w:p>
          <w:p>
            <w:pPr>
              <w:pStyle w:val="8"/>
              <w:keepNext w:val="0"/>
              <w:keepLines w:val="0"/>
              <w:pageBreakBefore w:val="0"/>
              <w:kinsoku/>
              <w:wordWrap/>
              <w:overflowPunct w:val="0"/>
              <w:topLinePunct w:val="0"/>
              <w:bidi w:val="0"/>
              <w:ind w:firstLine="482"/>
              <w:rPr>
                <w:b/>
                <w:bCs/>
                <w:highlight w:val="none"/>
                <w:lang w:eastAsia="zh-CN"/>
              </w:rPr>
            </w:pPr>
            <w:r>
              <w:rPr>
                <w:rFonts w:hint="eastAsia"/>
                <w:b/>
                <w:bCs/>
                <w:highlight w:val="none"/>
                <w:lang w:eastAsia="zh-CN"/>
              </w:rPr>
              <w:t>6、地下水、土壤环境</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项目厂界外500m范围内不涉及地下水集中式饮用水水源和热水、矿泉水、温泉等特殊地下水资源等地下水环境敏感目标，项目依托的危废暂存间、化学品库等均已采取有效的防渗、防漏措施，基本无污染地下水、土壤环境途径，故可不开展地下水、土壤环境现状调查。</w:t>
            </w:r>
          </w:p>
          <w:p>
            <w:pPr>
              <w:keepNext w:val="0"/>
              <w:keepLines w:val="0"/>
              <w:pageBreakBefore w:val="0"/>
              <w:kinsoku/>
              <w:wordWrap/>
              <w:overflowPunct w:val="0"/>
              <w:topLinePunct w:val="0"/>
              <w:bidi w:val="0"/>
              <w:rPr>
                <w:highlight w:val="none"/>
                <w:lang w:eastAsia="zh-CN"/>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578" w:hRule="atLeast"/>
        </w:trPr>
        <w:tc>
          <w:tcPr>
            <w:tcW w:w="831" w:type="dxa"/>
            <w:tcBorders>
              <w:right w:val="single" w:color="000000" w:sz="2" w:space="0"/>
            </w:tcBorders>
            <w:vAlign w:val="center"/>
          </w:tcPr>
          <w:p>
            <w:pPr>
              <w:keepNext w:val="0"/>
              <w:keepLines w:val="0"/>
              <w:pageBreakBefore w:val="0"/>
              <w:kinsoku/>
              <w:wordWrap/>
              <w:overflowPunct w:val="0"/>
              <w:topLinePunct w:val="0"/>
              <w:bidi w:val="0"/>
              <w:jc w:val="center"/>
              <w:rPr>
                <w:highlight w:val="none"/>
              </w:rPr>
            </w:pPr>
            <w:r>
              <w:rPr>
                <w:rFonts w:hint="eastAsia"/>
                <w:highlight w:val="none"/>
              </w:rPr>
              <w:t>环境保护目标</w:t>
            </w:r>
          </w:p>
        </w:tc>
        <w:tc>
          <w:tcPr>
            <w:tcW w:w="8157" w:type="dxa"/>
            <w:tcBorders>
              <w:left w:val="single" w:color="000000" w:sz="2" w:space="0"/>
            </w:tcBorders>
          </w:tcPr>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1、大气环境</w:t>
            </w:r>
          </w:p>
          <w:p>
            <w:pPr>
              <w:pStyle w:val="8"/>
              <w:keepNext w:val="0"/>
              <w:keepLines w:val="0"/>
              <w:pageBreakBefore w:val="0"/>
              <w:kinsoku/>
              <w:wordWrap/>
              <w:overflowPunct w:val="0"/>
              <w:topLinePunct w:val="0"/>
              <w:bidi w:val="0"/>
              <w:ind w:firstLine="480"/>
              <w:rPr>
                <w:color w:val="000000" w:themeColor="text1"/>
                <w:highlight w:val="none"/>
                <w:lang w:eastAsia="zh-CN"/>
                <w14:textFill>
                  <w14:solidFill>
                    <w14:schemeClr w14:val="tx1"/>
                  </w14:solidFill>
                </w14:textFill>
              </w:rPr>
            </w:pPr>
            <w:r>
              <w:rPr>
                <w:rFonts w:hint="eastAsia"/>
                <w:color w:val="000000" w:themeColor="text1"/>
                <w:highlight w:val="none"/>
                <w:lang w:eastAsia="zh-CN"/>
                <w14:textFill>
                  <w14:solidFill>
                    <w14:schemeClr w14:val="tx1"/>
                  </w14:solidFill>
                </w14:textFill>
              </w:rPr>
              <w:t>根据调查，项目大气环境保护目标如下。</w:t>
            </w:r>
          </w:p>
          <w:p>
            <w:pPr>
              <w:keepNext w:val="0"/>
              <w:keepLines w:val="0"/>
              <w:pageBreakBefore w:val="0"/>
              <w:widowControl w:val="0"/>
              <w:kinsoku/>
              <w:wordWrap/>
              <w:overflowPunct w:val="0"/>
              <w:topLinePunct w:val="0"/>
              <w:autoSpaceDE/>
              <w:autoSpaceDN/>
              <w:bidi w:val="0"/>
              <w:adjustRightInd/>
              <w:snapToGrid/>
              <w:spacing w:line="240" w:lineRule="auto"/>
              <w:ind w:firstLine="422" w:firstLineChars="200"/>
              <w:jc w:val="center"/>
              <w:textAlignment w:val="auto"/>
              <w:rPr>
                <w:rFonts w:hint="eastAsia" w:hAnsi="宋体" w:cs="Times New Roman"/>
                <w:b/>
                <w:color w:val="000000" w:themeColor="text1"/>
                <w:kern w:val="24"/>
                <w:sz w:val="21"/>
                <w:szCs w:val="21"/>
                <w:highlight w:val="none"/>
                <w:lang w:eastAsia="zh-CN"/>
                <w14:textFill>
                  <w14:solidFill>
                    <w14:schemeClr w14:val="tx1"/>
                  </w14:solidFill>
                </w14:textFill>
              </w:rPr>
            </w:pPr>
            <w:r>
              <w:rPr>
                <w:rFonts w:hAnsi="宋体" w:cs="Times New Roman"/>
                <w:b/>
                <w:color w:val="000000" w:themeColor="text1"/>
                <w:kern w:val="24"/>
                <w:sz w:val="21"/>
                <w:szCs w:val="21"/>
                <w:highlight w:val="none"/>
                <w:lang w:eastAsia="zh-CN"/>
                <w14:textFill>
                  <w14:solidFill>
                    <w14:schemeClr w14:val="tx1"/>
                  </w14:solidFill>
                </w14:textFill>
              </w:rPr>
              <w:t>表</w:t>
            </w:r>
            <w:r>
              <w:rPr>
                <w:rFonts w:hint="eastAsia" w:hAnsi="宋体" w:cs="Times New Roman"/>
                <w:b/>
                <w:color w:val="000000" w:themeColor="text1"/>
                <w:kern w:val="24"/>
                <w:sz w:val="21"/>
                <w:szCs w:val="21"/>
                <w:highlight w:val="none"/>
                <w:lang w:eastAsia="zh-CN"/>
                <w14:textFill>
                  <w14:solidFill>
                    <w14:schemeClr w14:val="tx1"/>
                  </w14:solidFill>
                </w14:textFill>
              </w:rPr>
              <w:t xml:space="preserve">3-2 </w:t>
            </w:r>
            <w:r>
              <w:rPr>
                <w:rFonts w:hAnsi="宋体" w:cs="Times New Roman"/>
                <w:b/>
                <w:color w:val="000000" w:themeColor="text1"/>
                <w:kern w:val="24"/>
                <w:sz w:val="21"/>
                <w:szCs w:val="21"/>
                <w:highlight w:val="none"/>
                <w:lang w:eastAsia="zh-CN"/>
                <w14:textFill>
                  <w14:solidFill>
                    <w14:schemeClr w14:val="tx1"/>
                  </w14:solidFill>
                </w14:textFill>
              </w:rPr>
              <w:t>项目环境空气保护目标一览表</w:t>
            </w:r>
          </w:p>
          <w:tbl>
            <w:tblPr>
              <w:tblStyle w:val="14"/>
              <w:tblW w:w="483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5"/>
              <w:gridCol w:w="1083"/>
              <w:gridCol w:w="950"/>
              <w:gridCol w:w="2417"/>
              <w:gridCol w:w="1001"/>
              <w:gridCol w:w="11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0" w:hRule="atLeast"/>
                <w:jc w:val="center"/>
              </w:trPr>
              <w:tc>
                <w:tcPr>
                  <w:tcW w:w="822" w:type="pct"/>
                  <w:tcBorders>
                    <w:top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名称</w:t>
                  </w:r>
                </w:p>
              </w:tc>
              <w:tc>
                <w:tcPr>
                  <w:tcW w:w="687"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保护对象</w:t>
                  </w:r>
                </w:p>
              </w:tc>
              <w:tc>
                <w:tcPr>
                  <w:tcW w:w="603"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规模</w:t>
                  </w:r>
                </w:p>
              </w:tc>
              <w:tc>
                <w:tcPr>
                  <w:tcW w:w="1534"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环境功能区</w:t>
                  </w:r>
                </w:p>
              </w:tc>
              <w:tc>
                <w:tcPr>
                  <w:tcW w:w="635"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相对厂房方位</w:t>
                  </w:r>
                </w:p>
              </w:tc>
              <w:tc>
                <w:tcPr>
                  <w:tcW w:w="716"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相对厂界距离/m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822"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highlight w:val="none"/>
                    </w:rPr>
                    <w:t>合肥美的暖通设备有限公司生活区</w:t>
                  </w:r>
                </w:p>
              </w:tc>
              <w:tc>
                <w:tcPr>
                  <w:tcW w:w="687"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居民</w:t>
                  </w:r>
                </w:p>
              </w:tc>
              <w:tc>
                <w:tcPr>
                  <w:tcW w:w="603"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约2000人</w:t>
                  </w:r>
                </w:p>
              </w:tc>
              <w:tc>
                <w:tcPr>
                  <w:tcW w:w="1534" w:type="pct"/>
                  <w:vMerge w:val="restart"/>
                  <w:tcBorders>
                    <w:top w:val="single" w:color="auto" w:sz="4" w:space="0"/>
                    <w:left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《环境空气质量标准》（GB3095-20</w:t>
                  </w:r>
                  <w:r>
                    <w:rPr>
                      <w:rFonts w:hint="eastAsia"/>
                      <w:highlight w:val="none"/>
                      <w:lang w:val="en-US" w:eastAsia="zh-CN"/>
                    </w:rPr>
                    <w:t>26</w:t>
                  </w:r>
                  <w:r>
                    <w:rPr>
                      <w:rFonts w:hint="eastAsia"/>
                      <w:highlight w:val="none"/>
                    </w:rPr>
                    <w:t>）二类标准</w:t>
                  </w:r>
                </w:p>
              </w:tc>
              <w:tc>
                <w:tcPr>
                  <w:tcW w:w="635"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西北</w:t>
                  </w:r>
                </w:p>
              </w:tc>
              <w:tc>
                <w:tcPr>
                  <w:tcW w:w="716"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416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atLeast"/>
                <w:jc w:val="center"/>
              </w:trPr>
              <w:tc>
                <w:tcPr>
                  <w:tcW w:w="822"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highlight w:val="none"/>
                    </w:rPr>
                  </w:pPr>
                  <w:r>
                    <w:rPr>
                      <w:rFonts w:hint="eastAsia"/>
                      <w:highlight w:val="none"/>
                    </w:rPr>
                    <w:t>工投·立恒工业广场一期公租房</w:t>
                  </w:r>
                </w:p>
              </w:tc>
              <w:tc>
                <w:tcPr>
                  <w:tcW w:w="687"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rFonts w:hint="eastAsia" w:eastAsia="宋体"/>
                      <w:highlight w:val="none"/>
                      <w:lang w:val="en-US" w:eastAsia="zh-CN"/>
                    </w:rPr>
                  </w:pPr>
                  <w:r>
                    <w:rPr>
                      <w:rFonts w:hint="eastAsia"/>
                      <w:highlight w:val="none"/>
                      <w:lang w:val="en-US" w:eastAsia="zh-CN"/>
                    </w:rPr>
                    <w:t>居民</w:t>
                  </w:r>
                </w:p>
              </w:tc>
              <w:tc>
                <w:tcPr>
                  <w:tcW w:w="603"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rFonts w:hint="eastAsia"/>
                      <w:highlight w:val="none"/>
                    </w:rPr>
                  </w:pPr>
                  <w:r>
                    <w:rPr>
                      <w:rFonts w:hint="eastAsia"/>
                      <w:highlight w:val="none"/>
                    </w:rPr>
                    <w:t>约</w:t>
                  </w:r>
                  <w:r>
                    <w:rPr>
                      <w:rFonts w:hint="eastAsia"/>
                      <w:highlight w:val="none"/>
                      <w:lang w:val="en-US" w:eastAsia="zh-CN"/>
                    </w:rPr>
                    <w:t>35</w:t>
                  </w:r>
                  <w:r>
                    <w:rPr>
                      <w:rFonts w:hint="eastAsia"/>
                      <w:highlight w:val="none"/>
                    </w:rPr>
                    <w:t>00人</w:t>
                  </w:r>
                </w:p>
              </w:tc>
              <w:tc>
                <w:tcPr>
                  <w:tcW w:w="1534" w:type="pct"/>
                  <w:vMerge w:val="continue"/>
                  <w:tcBorders>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rFonts w:hint="eastAsia"/>
                      <w:highlight w:val="none"/>
                    </w:rPr>
                  </w:pPr>
                </w:p>
              </w:tc>
              <w:tc>
                <w:tcPr>
                  <w:tcW w:w="635"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rFonts w:hint="eastAsia" w:eastAsia="宋体"/>
                      <w:highlight w:val="none"/>
                      <w:lang w:val="en-US" w:eastAsia="zh-CN"/>
                    </w:rPr>
                  </w:pPr>
                  <w:r>
                    <w:rPr>
                      <w:rFonts w:hint="eastAsia"/>
                      <w:highlight w:val="none"/>
                      <w:lang w:val="en-US" w:eastAsia="zh-CN"/>
                    </w:rPr>
                    <w:t>东南</w:t>
                  </w:r>
                </w:p>
              </w:tc>
              <w:tc>
                <w:tcPr>
                  <w:tcW w:w="716" w:type="pct"/>
                  <w:tcBorders>
                    <w:top w:val="single" w:color="auto" w:sz="4" w:space="0"/>
                    <w:left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bidi w:val="0"/>
                    <w:rPr>
                      <w:rFonts w:hint="default" w:eastAsia="宋体"/>
                      <w:highlight w:val="none"/>
                      <w:lang w:val="en-US" w:eastAsia="zh-CN"/>
                    </w:rPr>
                  </w:pPr>
                  <w:r>
                    <w:rPr>
                      <w:rFonts w:hint="eastAsia"/>
                      <w:highlight w:val="none"/>
                      <w:lang w:val="en-US" w:eastAsia="zh-CN"/>
                    </w:rPr>
                    <w:t>401</w:t>
                  </w:r>
                </w:p>
              </w:tc>
            </w:tr>
          </w:tbl>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2、声环境</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项目厂界外50m范围内无声环境保护目标。</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3、地下水环境</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项目厂界外500m范围内不涉及地下水集中式饮用水水源和热水、矿泉水、温泉等特殊地下水资源等地下水环境敏感目标。</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4、生态环境</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本项目位于合肥高新区柏堰科技园宁西路108号马瑞利动力系统（合肥）有限公司厂区内车间空置</w:t>
            </w:r>
            <w:r>
              <w:rPr>
                <w:rFonts w:hint="eastAsia"/>
                <w:highlight w:val="none"/>
                <w:lang w:val="en-US" w:eastAsia="zh-CN"/>
              </w:rPr>
              <w:t>区域</w:t>
            </w:r>
            <w:r>
              <w:rPr>
                <w:rFonts w:hint="eastAsia"/>
                <w:highlight w:val="none"/>
                <w:lang w:eastAsia="zh-CN"/>
              </w:rPr>
              <w:t>进行生产，不涉及新增用地，无需进行生态现状调查。</w:t>
            </w:r>
          </w:p>
          <w:p>
            <w:pPr>
              <w:keepNext w:val="0"/>
              <w:keepLines w:val="0"/>
              <w:pageBreakBefore w:val="0"/>
              <w:kinsoku/>
              <w:wordWrap/>
              <w:overflowPunct w:val="0"/>
              <w:topLinePunct w:val="0"/>
              <w:bidi w:val="0"/>
              <w:rPr>
                <w:highlight w:val="none"/>
                <w:lang w:eastAsia="zh-CN"/>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578" w:hRule="atLeast"/>
        </w:trPr>
        <w:tc>
          <w:tcPr>
            <w:tcW w:w="831" w:type="dxa"/>
            <w:tcBorders>
              <w:right w:val="single" w:color="000000" w:sz="2" w:space="0"/>
            </w:tcBorders>
            <w:vAlign w:val="center"/>
          </w:tcPr>
          <w:p>
            <w:pPr>
              <w:keepNext w:val="0"/>
              <w:keepLines w:val="0"/>
              <w:pageBreakBefore w:val="0"/>
              <w:kinsoku/>
              <w:wordWrap/>
              <w:overflowPunct w:val="0"/>
              <w:topLinePunct w:val="0"/>
              <w:bidi w:val="0"/>
              <w:jc w:val="center"/>
              <w:rPr>
                <w:highlight w:val="none"/>
              </w:rPr>
            </w:pPr>
            <w:r>
              <w:rPr>
                <w:rFonts w:hint="eastAsia"/>
                <w:highlight w:val="none"/>
              </w:rPr>
              <w:t>污染物排放控制标准</w:t>
            </w:r>
          </w:p>
        </w:tc>
        <w:tc>
          <w:tcPr>
            <w:tcW w:w="8157" w:type="dxa"/>
            <w:tcBorders>
              <w:left w:val="single" w:color="000000" w:sz="2" w:space="0"/>
            </w:tcBorders>
          </w:tcPr>
          <w:p>
            <w:pPr>
              <w:pStyle w:val="8"/>
              <w:keepNext w:val="0"/>
              <w:keepLines w:val="0"/>
              <w:pageBreakBefore w:val="0"/>
              <w:kinsoku/>
              <w:wordWrap/>
              <w:overflowPunct w:val="0"/>
              <w:topLinePunct w:val="0"/>
              <w:bidi w:val="0"/>
              <w:ind w:firstLine="482"/>
              <w:rPr>
                <w:b/>
                <w:bCs/>
                <w:highlight w:val="none"/>
                <w:lang w:eastAsia="zh-CN"/>
              </w:rPr>
            </w:pPr>
            <w:r>
              <w:rPr>
                <w:rFonts w:hint="eastAsia"/>
                <w:b/>
                <w:bCs/>
                <w:highlight w:val="none"/>
                <w:lang w:eastAsia="zh-CN"/>
              </w:rPr>
              <w:t>1、大气污染物排放标准</w:t>
            </w:r>
          </w:p>
          <w:p>
            <w:pPr>
              <w:pStyle w:val="8"/>
              <w:keepNext w:val="0"/>
              <w:keepLines w:val="0"/>
              <w:pageBreakBefore w:val="0"/>
              <w:kinsoku/>
              <w:wordWrap/>
              <w:overflowPunct w:val="0"/>
              <w:topLinePunct w:val="0"/>
              <w:bidi w:val="0"/>
              <w:ind w:firstLine="480"/>
              <w:rPr>
                <w:rFonts w:hint="eastAsia"/>
                <w:highlight w:val="none"/>
                <w:lang w:val="en-US" w:eastAsia="zh-CN"/>
              </w:rPr>
            </w:pPr>
            <w:r>
              <w:rPr>
                <w:rFonts w:hint="eastAsia"/>
                <w:highlight w:val="none"/>
                <w:lang w:val="en-US" w:eastAsia="zh-CN"/>
              </w:rPr>
              <w:t>本项目施工期施工扬尘执行《施工场地颗粒物排放标准》（DB34/4811-2024）中标准限值。</w:t>
            </w:r>
          </w:p>
          <w:p>
            <w:pPr>
              <w:pStyle w:val="18"/>
              <w:keepNext w:val="0"/>
              <w:keepLines w:val="0"/>
              <w:pageBreakBefore w:val="0"/>
              <w:kinsoku/>
              <w:wordWrap/>
              <w:overflowPunct w:val="0"/>
              <w:topLinePunct w:val="0"/>
              <w:bidi w:val="0"/>
              <w:rPr>
                <w:rFonts w:hint="default"/>
                <w:highlight w:val="none"/>
                <w:lang w:val="en-US" w:eastAsia="zh-CN"/>
              </w:rPr>
            </w:pPr>
            <w:r>
              <w:rPr>
                <w:rFonts w:hint="default"/>
                <w:highlight w:val="none"/>
                <w:lang w:val="en-US" w:eastAsia="zh-CN"/>
              </w:rPr>
              <w:t>表3-</w:t>
            </w:r>
            <w:r>
              <w:rPr>
                <w:rFonts w:hint="eastAsia"/>
                <w:highlight w:val="none"/>
                <w:lang w:val="en-US" w:eastAsia="zh-CN"/>
              </w:rPr>
              <w:t>3</w:t>
            </w:r>
            <w:r>
              <w:rPr>
                <w:rFonts w:hint="default"/>
                <w:highlight w:val="none"/>
                <w:lang w:val="en-US" w:eastAsia="zh-CN"/>
              </w:rPr>
              <w:t xml:space="preserve">  施工场地颗粒物排放标准</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8"/>
              <w:gridCol w:w="1093"/>
              <w:gridCol w:w="1847"/>
              <w:gridCol w:w="2165"/>
              <w:gridCol w:w="16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198" w:type="dxa"/>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default"/>
                      <w:highlight w:val="none"/>
                      <w:lang w:val="en-US" w:eastAsia="zh-CN"/>
                    </w:rPr>
                    <w:t>控制项目</w:t>
                  </w:r>
                </w:p>
              </w:tc>
              <w:tc>
                <w:tcPr>
                  <w:tcW w:w="1093" w:type="dxa"/>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highlight w:val="none"/>
                    </w:rPr>
                    <w:t>单位</w:t>
                  </w:r>
                </w:p>
              </w:tc>
              <w:tc>
                <w:tcPr>
                  <w:tcW w:w="1847" w:type="dxa"/>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default"/>
                      <w:highlight w:val="none"/>
                      <w:lang w:val="en-US" w:eastAsia="zh-CN"/>
                    </w:rPr>
                    <w:t>监测点浓度限值</w:t>
                  </w:r>
                </w:p>
              </w:tc>
              <w:tc>
                <w:tcPr>
                  <w:tcW w:w="2165" w:type="dxa"/>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default"/>
                      <w:highlight w:val="none"/>
                      <w:lang w:val="en-US" w:eastAsia="zh-CN"/>
                    </w:rPr>
                    <w:t>达标判定依据</w:t>
                  </w:r>
                </w:p>
              </w:tc>
              <w:tc>
                <w:tcPr>
                  <w:tcW w:w="1654" w:type="dxa"/>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default"/>
                      <w:highlight w:val="none"/>
                      <w:lang w:val="en-US" w:eastAsia="zh-CN"/>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198" w:type="dxa"/>
                  <w:vMerge w:val="restart"/>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eastAsia"/>
                      <w:highlight w:val="none"/>
                      <w:lang w:val="en-US" w:eastAsia="zh-CN"/>
                    </w:rPr>
                    <w:t>TSP</w:t>
                  </w:r>
                </w:p>
              </w:tc>
              <w:tc>
                <w:tcPr>
                  <w:tcW w:w="1093" w:type="dxa"/>
                  <w:vMerge w:val="restart"/>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default"/>
                      <w:highlight w:val="none"/>
                      <w:lang w:val="en-US" w:eastAsia="zh-CN"/>
                    </w:rPr>
                    <w:t>μg/m</w:t>
                  </w:r>
                  <w:r>
                    <w:rPr>
                      <w:rFonts w:hint="default"/>
                      <w:highlight w:val="none"/>
                      <w:vertAlign w:val="superscript"/>
                      <w:lang w:val="en-US" w:eastAsia="zh-CN"/>
                    </w:rPr>
                    <w:t>3</w:t>
                  </w:r>
                </w:p>
              </w:tc>
              <w:tc>
                <w:tcPr>
                  <w:tcW w:w="1847" w:type="dxa"/>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eastAsia"/>
                      <w:highlight w:val="none"/>
                      <w:lang w:val="en-US" w:eastAsia="zh-CN"/>
                    </w:rPr>
                    <w:t>1000</w:t>
                  </w:r>
                </w:p>
              </w:tc>
              <w:tc>
                <w:tcPr>
                  <w:tcW w:w="2165" w:type="dxa"/>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default"/>
                      <w:highlight w:val="none"/>
                      <w:lang w:val="en-US" w:eastAsia="zh-CN"/>
                    </w:rPr>
                    <w:t>超标次数≤1次/日</w:t>
                  </w:r>
                </w:p>
              </w:tc>
              <w:tc>
                <w:tcPr>
                  <w:tcW w:w="1654" w:type="dxa"/>
                  <w:vMerge w:val="restart"/>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eastAsia"/>
                      <w:highlight w:val="none"/>
                    </w:rPr>
                    <w:t>DB34/4811-2024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jc w:val="center"/>
              </w:trPr>
              <w:tc>
                <w:tcPr>
                  <w:tcW w:w="1198" w:type="dxa"/>
                  <w:vMerge w:val="continue"/>
                  <w:vAlign w:val="center"/>
                </w:tcPr>
                <w:p>
                  <w:pPr>
                    <w:pStyle w:val="17"/>
                    <w:keepNext w:val="0"/>
                    <w:keepLines w:val="0"/>
                    <w:pageBreakBefore w:val="0"/>
                    <w:kinsoku/>
                    <w:wordWrap/>
                    <w:overflowPunct w:val="0"/>
                    <w:topLinePunct w:val="0"/>
                    <w:bidi w:val="0"/>
                    <w:jc w:val="center"/>
                    <w:rPr>
                      <w:rFonts w:hint="default"/>
                      <w:highlight w:val="none"/>
                      <w:lang w:val="en-US" w:eastAsia="zh-CN"/>
                    </w:rPr>
                  </w:pPr>
                </w:p>
              </w:tc>
              <w:tc>
                <w:tcPr>
                  <w:tcW w:w="1093" w:type="dxa"/>
                  <w:vMerge w:val="continue"/>
                  <w:vAlign w:val="center"/>
                </w:tcPr>
                <w:p>
                  <w:pPr>
                    <w:pStyle w:val="17"/>
                    <w:keepNext w:val="0"/>
                    <w:keepLines w:val="0"/>
                    <w:pageBreakBefore w:val="0"/>
                    <w:kinsoku/>
                    <w:wordWrap/>
                    <w:overflowPunct w:val="0"/>
                    <w:topLinePunct w:val="0"/>
                    <w:bidi w:val="0"/>
                    <w:jc w:val="center"/>
                    <w:rPr>
                      <w:rFonts w:hint="default"/>
                      <w:highlight w:val="none"/>
                      <w:lang w:val="en-US" w:eastAsia="zh-CN"/>
                    </w:rPr>
                  </w:pPr>
                </w:p>
              </w:tc>
              <w:tc>
                <w:tcPr>
                  <w:tcW w:w="1847" w:type="dxa"/>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eastAsia"/>
                      <w:highlight w:val="none"/>
                      <w:lang w:val="en-US" w:eastAsia="zh-CN"/>
                    </w:rPr>
                    <w:t>500</w:t>
                  </w:r>
                </w:p>
              </w:tc>
              <w:tc>
                <w:tcPr>
                  <w:tcW w:w="2165" w:type="dxa"/>
                  <w:vAlign w:val="center"/>
                </w:tcPr>
                <w:p>
                  <w:pPr>
                    <w:pStyle w:val="17"/>
                    <w:keepNext w:val="0"/>
                    <w:keepLines w:val="0"/>
                    <w:pageBreakBefore w:val="0"/>
                    <w:kinsoku/>
                    <w:wordWrap/>
                    <w:overflowPunct w:val="0"/>
                    <w:topLinePunct w:val="0"/>
                    <w:bidi w:val="0"/>
                    <w:jc w:val="center"/>
                    <w:rPr>
                      <w:rFonts w:hint="default"/>
                      <w:highlight w:val="none"/>
                      <w:lang w:val="en-US" w:eastAsia="zh-CN"/>
                    </w:rPr>
                  </w:pPr>
                  <w:r>
                    <w:rPr>
                      <w:rFonts w:hint="default"/>
                      <w:highlight w:val="none"/>
                      <w:lang w:val="en-US" w:eastAsia="zh-CN"/>
                    </w:rPr>
                    <w:t>超标次数≤</w:t>
                  </w:r>
                  <w:r>
                    <w:rPr>
                      <w:rFonts w:hint="eastAsia"/>
                      <w:highlight w:val="none"/>
                      <w:lang w:val="en-US" w:eastAsia="zh-CN"/>
                    </w:rPr>
                    <w:t>6</w:t>
                  </w:r>
                  <w:r>
                    <w:rPr>
                      <w:rFonts w:hint="default"/>
                      <w:highlight w:val="none"/>
                      <w:lang w:val="en-US" w:eastAsia="zh-CN"/>
                    </w:rPr>
                    <w:t>次/日</w:t>
                  </w:r>
                </w:p>
              </w:tc>
              <w:tc>
                <w:tcPr>
                  <w:tcW w:w="1654" w:type="dxa"/>
                  <w:vMerge w:val="continue"/>
                  <w:vAlign w:val="center"/>
                </w:tcPr>
                <w:p>
                  <w:pPr>
                    <w:pStyle w:val="17"/>
                    <w:keepNext w:val="0"/>
                    <w:keepLines w:val="0"/>
                    <w:pageBreakBefore w:val="0"/>
                    <w:kinsoku/>
                    <w:wordWrap/>
                    <w:overflowPunct w:val="0"/>
                    <w:topLinePunct w:val="0"/>
                    <w:bidi w:val="0"/>
                    <w:jc w:val="center"/>
                    <w:rPr>
                      <w:rFonts w:hint="default"/>
                      <w:highlight w:val="none"/>
                      <w:lang w:val="en-US" w:eastAsia="zh-CN"/>
                    </w:rPr>
                  </w:pPr>
                </w:p>
              </w:tc>
            </w:tr>
          </w:tbl>
          <w:p>
            <w:pPr>
              <w:pStyle w:val="8"/>
              <w:keepNext w:val="0"/>
              <w:keepLines w:val="0"/>
              <w:pageBreakBefore w:val="0"/>
              <w:kinsoku/>
              <w:wordWrap/>
              <w:overflowPunct w:val="0"/>
              <w:topLinePunct w:val="0"/>
              <w:bidi w:val="0"/>
              <w:ind w:firstLine="480"/>
              <w:rPr>
                <w:color w:val="000000" w:themeColor="text1"/>
                <w:highlight w:val="none"/>
                <w:lang w:eastAsia="zh-CN"/>
                <w14:textFill>
                  <w14:solidFill>
                    <w14:schemeClr w14:val="tx1"/>
                  </w14:solidFill>
                </w14:textFill>
              </w:rPr>
            </w:pPr>
            <w:r>
              <w:rPr>
                <w:rFonts w:hint="eastAsia"/>
                <w:highlight w:val="none"/>
                <w:lang w:eastAsia="zh-CN"/>
              </w:rPr>
              <w:t>项目</w:t>
            </w:r>
            <w:r>
              <w:rPr>
                <w:rFonts w:hint="eastAsia"/>
                <w:highlight w:val="none"/>
                <w:lang w:val="en-US" w:eastAsia="zh-CN"/>
              </w:rPr>
              <w:t>营运期</w:t>
            </w:r>
            <w:r>
              <w:rPr>
                <w:rFonts w:hint="eastAsia"/>
                <w:highlight w:val="none"/>
                <w:lang w:eastAsia="zh-CN"/>
              </w:rPr>
              <w:t>焊接工段产生的颗粒物无组织排放照执行《大气污染物综合排放标准》（GB 16297-1996）中表2中排放限值，食堂油烟排放参照执行《饮食业油烟排放排放标准》（GB18483-200</w:t>
            </w:r>
            <w:r>
              <w:rPr>
                <w:rFonts w:hint="eastAsia"/>
                <w:color w:val="000000" w:themeColor="text1"/>
                <w:highlight w:val="none"/>
                <w:lang w:eastAsia="zh-CN"/>
                <w14:textFill>
                  <w14:solidFill>
                    <w14:schemeClr w14:val="tx1"/>
                  </w14:solidFill>
                </w14:textFill>
              </w:rPr>
              <w:t>1）中型标准限值。</w:t>
            </w:r>
          </w:p>
          <w:p>
            <w:pPr>
              <w:pStyle w:val="18"/>
              <w:keepNext w:val="0"/>
              <w:keepLines w:val="0"/>
              <w:pageBreakBefore w:val="0"/>
              <w:kinsoku/>
              <w:wordWrap/>
              <w:overflowPunct w:val="0"/>
              <w:topLinePunct w:val="0"/>
              <w:bidi w:val="0"/>
              <w:rPr>
                <w:highlight w:val="none"/>
                <w:lang w:eastAsia="zh-CN"/>
              </w:rPr>
            </w:pPr>
            <w:r>
              <w:rPr>
                <w:rFonts w:hint="eastAsia"/>
                <w:color w:val="000000" w:themeColor="text1"/>
                <w:highlight w:val="none"/>
                <w:lang w:eastAsia="zh-CN"/>
                <w14:textFill>
                  <w14:solidFill>
                    <w14:schemeClr w14:val="tx1"/>
                  </w14:solidFill>
                </w14:textFill>
              </w:rPr>
              <w:t>表3-</w:t>
            </w:r>
            <w:r>
              <w:rPr>
                <w:rFonts w:hint="eastAsia"/>
                <w:color w:val="000000" w:themeColor="text1"/>
                <w:highlight w:val="none"/>
                <w:lang w:val="en-US" w:eastAsia="zh-CN"/>
                <w14:textFill>
                  <w14:solidFill>
                    <w14:schemeClr w14:val="tx1"/>
                  </w14:solidFill>
                </w14:textFill>
              </w:rPr>
              <w:t>4</w:t>
            </w:r>
            <w:r>
              <w:rPr>
                <w:rFonts w:hint="eastAsia"/>
                <w:color w:val="000000" w:themeColor="text1"/>
                <w:highlight w:val="none"/>
                <w:lang w:eastAsia="zh-CN"/>
                <w14:textFill>
                  <w14:solidFill>
                    <w14:schemeClr w14:val="tx1"/>
                  </w14:solidFill>
                </w14:textFill>
              </w:rPr>
              <w:t xml:space="preserve">  </w:t>
            </w:r>
            <w:r>
              <w:rPr>
                <w:rFonts w:hint="eastAsia"/>
                <w:highlight w:val="none"/>
                <w:lang w:eastAsia="zh-CN"/>
              </w:rPr>
              <w:t>大气污染物综合排放标准排放标准</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38"/>
              <w:gridCol w:w="3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3" w:hRule="atLeast"/>
                <w:jc w:val="center"/>
              </w:trPr>
              <w:tc>
                <w:tcPr>
                  <w:tcW w:w="3938" w:type="dxa"/>
                  <w:vAlign w:val="center"/>
                </w:tcPr>
                <w:p>
                  <w:pPr>
                    <w:pStyle w:val="17"/>
                    <w:keepNext w:val="0"/>
                    <w:keepLines w:val="0"/>
                    <w:pageBreakBefore w:val="0"/>
                    <w:kinsoku/>
                    <w:wordWrap/>
                    <w:overflowPunct w:val="0"/>
                    <w:topLinePunct w:val="0"/>
                    <w:bidi w:val="0"/>
                    <w:rPr>
                      <w:highlight w:val="none"/>
                    </w:rPr>
                  </w:pPr>
                  <w:r>
                    <w:rPr>
                      <w:rFonts w:hint="eastAsia"/>
                      <w:highlight w:val="none"/>
                    </w:rPr>
                    <w:t>污染物</w:t>
                  </w:r>
                </w:p>
              </w:tc>
              <w:tc>
                <w:tcPr>
                  <w:tcW w:w="3840" w:type="dxa"/>
                  <w:vAlign w:val="center"/>
                </w:tcPr>
                <w:p>
                  <w:pPr>
                    <w:pStyle w:val="17"/>
                    <w:keepNext w:val="0"/>
                    <w:keepLines w:val="0"/>
                    <w:pageBreakBefore w:val="0"/>
                    <w:kinsoku/>
                    <w:wordWrap/>
                    <w:overflowPunct w:val="0"/>
                    <w:topLinePunct w:val="0"/>
                    <w:bidi w:val="0"/>
                    <w:rPr>
                      <w:highlight w:val="none"/>
                    </w:rPr>
                  </w:pPr>
                  <w:r>
                    <w:rPr>
                      <w:rFonts w:hint="eastAsia"/>
                      <w:highlight w:val="none"/>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38" w:type="dxa"/>
                  <w:vAlign w:val="center"/>
                </w:tcPr>
                <w:p>
                  <w:pPr>
                    <w:pStyle w:val="17"/>
                    <w:keepNext w:val="0"/>
                    <w:keepLines w:val="0"/>
                    <w:pageBreakBefore w:val="0"/>
                    <w:kinsoku/>
                    <w:wordWrap/>
                    <w:overflowPunct w:val="0"/>
                    <w:topLinePunct w:val="0"/>
                    <w:bidi w:val="0"/>
                    <w:rPr>
                      <w:highlight w:val="none"/>
                    </w:rPr>
                  </w:pPr>
                  <w:r>
                    <w:rPr>
                      <w:rFonts w:hint="eastAsia"/>
                      <w:highlight w:val="none"/>
                    </w:rPr>
                    <w:t>颗粒物</w:t>
                  </w:r>
                </w:p>
              </w:tc>
              <w:tc>
                <w:tcPr>
                  <w:tcW w:w="3840" w:type="dxa"/>
                  <w:vAlign w:val="center"/>
                </w:tcPr>
                <w:p>
                  <w:pPr>
                    <w:pStyle w:val="17"/>
                    <w:keepNext w:val="0"/>
                    <w:keepLines w:val="0"/>
                    <w:pageBreakBefore w:val="0"/>
                    <w:kinsoku/>
                    <w:wordWrap/>
                    <w:overflowPunct w:val="0"/>
                    <w:topLinePunct w:val="0"/>
                    <w:bidi w:val="0"/>
                    <w:rPr>
                      <w:highlight w:val="none"/>
                    </w:rPr>
                  </w:pPr>
                  <w:r>
                    <w:rPr>
                      <w:rFonts w:hint="eastAsia"/>
                      <w:highlight w:val="none"/>
                    </w:rPr>
                    <w:t>1.0</w:t>
                  </w:r>
                </w:p>
              </w:tc>
            </w:tr>
          </w:tbl>
          <w:p>
            <w:pPr>
              <w:pStyle w:val="18"/>
              <w:keepNext w:val="0"/>
              <w:keepLines w:val="0"/>
              <w:pageBreakBefore w:val="0"/>
              <w:kinsoku/>
              <w:wordWrap/>
              <w:overflowPunct w:val="0"/>
              <w:topLinePunct w:val="0"/>
              <w:bidi w:val="0"/>
              <w:rPr>
                <w:highlight w:val="none"/>
                <w:lang w:eastAsia="zh-CN"/>
              </w:rPr>
            </w:pPr>
            <w:r>
              <w:rPr>
                <w:rFonts w:hint="eastAsia"/>
                <w:color w:val="000000" w:themeColor="text1"/>
                <w:highlight w:val="none"/>
                <w:lang w:eastAsia="zh-CN"/>
                <w14:textFill>
                  <w14:solidFill>
                    <w14:schemeClr w14:val="tx1"/>
                  </w14:solidFill>
                </w14:textFill>
              </w:rPr>
              <w:t>表3-</w:t>
            </w:r>
            <w:r>
              <w:rPr>
                <w:rFonts w:hint="eastAsia"/>
                <w:color w:val="000000" w:themeColor="text1"/>
                <w:highlight w:val="none"/>
                <w:lang w:val="en-US" w:eastAsia="zh-CN"/>
                <w14:textFill>
                  <w14:solidFill>
                    <w14:schemeClr w14:val="tx1"/>
                  </w14:solidFill>
                </w14:textFill>
              </w:rPr>
              <w:t>5</w:t>
            </w:r>
            <w:r>
              <w:rPr>
                <w:rFonts w:hint="eastAsia"/>
                <w:color w:val="000000" w:themeColor="text1"/>
                <w:highlight w:val="none"/>
                <w:lang w:eastAsia="zh-CN"/>
                <w14:textFill>
                  <w14:solidFill>
                    <w14:schemeClr w14:val="tx1"/>
                  </w14:solidFill>
                </w14:textFill>
              </w:rPr>
              <w:t xml:space="preserve">  饮食业</w:t>
            </w:r>
            <w:r>
              <w:rPr>
                <w:rFonts w:hint="eastAsia"/>
                <w:highlight w:val="none"/>
                <w:lang w:eastAsia="zh-CN"/>
              </w:rPr>
              <w:t>油烟排放排放标准</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12"/>
              <w:gridCol w:w="1055"/>
              <w:gridCol w:w="1056"/>
              <w:gridCol w:w="10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12" w:type="dxa"/>
                  <w:vAlign w:val="center"/>
                </w:tcPr>
                <w:p>
                  <w:pPr>
                    <w:pStyle w:val="17"/>
                    <w:keepNext w:val="0"/>
                    <w:keepLines w:val="0"/>
                    <w:pageBreakBefore w:val="0"/>
                    <w:kinsoku/>
                    <w:wordWrap/>
                    <w:overflowPunct w:val="0"/>
                    <w:topLinePunct w:val="0"/>
                    <w:bidi w:val="0"/>
                    <w:rPr>
                      <w:highlight w:val="none"/>
                    </w:rPr>
                  </w:pPr>
                  <w:r>
                    <w:rPr>
                      <w:rFonts w:hint="eastAsia"/>
                      <w:highlight w:val="none"/>
                    </w:rPr>
                    <w:t>规模</w:t>
                  </w:r>
                </w:p>
              </w:tc>
              <w:tc>
                <w:tcPr>
                  <w:tcW w:w="1055" w:type="dxa"/>
                  <w:vAlign w:val="center"/>
                </w:tcPr>
                <w:p>
                  <w:pPr>
                    <w:pStyle w:val="17"/>
                    <w:keepNext w:val="0"/>
                    <w:keepLines w:val="0"/>
                    <w:pageBreakBefore w:val="0"/>
                    <w:kinsoku/>
                    <w:wordWrap/>
                    <w:overflowPunct w:val="0"/>
                    <w:topLinePunct w:val="0"/>
                    <w:bidi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小型</w:t>
                  </w:r>
                </w:p>
              </w:tc>
              <w:tc>
                <w:tcPr>
                  <w:tcW w:w="1056" w:type="dxa"/>
                  <w:vAlign w:val="center"/>
                </w:tcPr>
                <w:p>
                  <w:pPr>
                    <w:pStyle w:val="17"/>
                    <w:keepNext w:val="0"/>
                    <w:keepLines w:val="0"/>
                    <w:pageBreakBefore w:val="0"/>
                    <w:kinsoku/>
                    <w:wordWrap/>
                    <w:overflowPunct w:val="0"/>
                    <w:topLinePunct w:val="0"/>
                    <w:bidi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中型</w:t>
                  </w:r>
                </w:p>
              </w:tc>
              <w:tc>
                <w:tcPr>
                  <w:tcW w:w="1055" w:type="dxa"/>
                  <w:vAlign w:val="center"/>
                </w:tcPr>
                <w:p>
                  <w:pPr>
                    <w:pStyle w:val="17"/>
                    <w:keepNext w:val="0"/>
                    <w:keepLines w:val="0"/>
                    <w:pageBreakBefore w:val="0"/>
                    <w:kinsoku/>
                    <w:wordWrap/>
                    <w:overflowPunct w:val="0"/>
                    <w:topLinePunct w:val="0"/>
                    <w:bidi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大型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12" w:type="dxa"/>
                  <w:vAlign w:val="center"/>
                </w:tcPr>
                <w:p>
                  <w:pPr>
                    <w:pStyle w:val="17"/>
                    <w:keepNext w:val="0"/>
                    <w:keepLines w:val="0"/>
                    <w:pageBreakBefore w:val="0"/>
                    <w:kinsoku/>
                    <w:wordWrap/>
                    <w:overflowPunct w:val="0"/>
                    <w:topLinePunct w:val="0"/>
                    <w:bidi w:val="0"/>
                    <w:rPr>
                      <w:highlight w:val="none"/>
                    </w:rPr>
                  </w:pPr>
                  <w:r>
                    <w:rPr>
                      <w:rFonts w:hint="eastAsia"/>
                      <w:highlight w:val="none"/>
                    </w:rPr>
                    <w:t>最高允许排放浓度(mg/m</w:t>
                  </w:r>
                  <w:r>
                    <w:rPr>
                      <w:rFonts w:hint="eastAsia"/>
                      <w:highlight w:val="none"/>
                      <w:vertAlign w:val="superscript"/>
                    </w:rPr>
                    <w:t>3</w:t>
                  </w:r>
                  <w:r>
                    <w:rPr>
                      <w:rFonts w:hint="eastAsia"/>
                      <w:highlight w:val="none"/>
                    </w:rPr>
                    <w:t>)</w:t>
                  </w:r>
                </w:p>
              </w:tc>
              <w:tc>
                <w:tcPr>
                  <w:tcW w:w="3166" w:type="dxa"/>
                  <w:gridSpan w:val="3"/>
                  <w:vAlign w:val="center"/>
                </w:tcPr>
                <w:p>
                  <w:pPr>
                    <w:pStyle w:val="17"/>
                    <w:keepNext w:val="0"/>
                    <w:keepLines w:val="0"/>
                    <w:pageBreakBefore w:val="0"/>
                    <w:kinsoku/>
                    <w:wordWrap/>
                    <w:overflowPunct w:val="0"/>
                    <w:topLinePunct w:val="0"/>
                    <w:bidi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12" w:type="dxa"/>
                  <w:vAlign w:val="center"/>
                </w:tcPr>
                <w:p>
                  <w:pPr>
                    <w:pStyle w:val="17"/>
                    <w:keepNext w:val="0"/>
                    <w:keepLines w:val="0"/>
                    <w:pageBreakBefore w:val="0"/>
                    <w:kinsoku/>
                    <w:wordWrap/>
                    <w:overflowPunct w:val="0"/>
                    <w:topLinePunct w:val="0"/>
                    <w:bidi w:val="0"/>
                    <w:rPr>
                      <w:highlight w:val="none"/>
                    </w:rPr>
                  </w:pPr>
                  <w:r>
                    <w:rPr>
                      <w:rFonts w:hint="eastAsia"/>
                      <w:highlight w:val="none"/>
                    </w:rPr>
                    <w:t>净化设施最低去除效率(%)</w:t>
                  </w:r>
                </w:p>
              </w:tc>
              <w:tc>
                <w:tcPr>
                  <w:tcW w:w="1055" w:type="dxa"/>
                  <w:vAlign w:val="center"/>
                </w:tcPr>
                <w:p>
                  <w:pPr>
                    <w:pStyle w:val="17"/>
                    <w:keepNext w:val="0"/>
                    <w:keepLines w:val="0"/>
                    <w:pageBreakBefore w:val="0"/>
                    <w:kinsoku/>
                    <w:wordWrap/>
                    <w:overflowPunct w:val="0"/>
                    <w:topLinePunct w:val="0"/>
                    <w:bidi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60</w:t>
                  </w:r>
                </w:p>
              </w:tc>
              <w:tc>
                <w:tcPr>
                  <w:tcW w:w="1056" w:type="dxa"/>
                  <w:vAlign w:val="center"/>
                </w:tcPr>
                <w:p>
                  <w:pPr>
                    <w:pStyle w:val="17"/>
                    <w:keepNext w:val="0"/>
                    <w:keepLines w:val="0"/>
                    <w:pageBreakBefore w:val="0"/>
                    <w:kinsoku/>
                    <w:wordWrap/>
                    <w:overflowPunct w:val="0"/>
                    <w:topLinePunct w:val="0"/>
                    <w:bidi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75</w:t>
                  </w:r>
                </w:p>
              </w:tc>
              <w:tc>
                <w:tcPr>
                  <w:tcW w:w="1055" w:type="dxa"/>
                  <w:vAlign w:val="center"/>
                </w:tcPr>
                <w:p>
                  <w:pPr>
                    <w:pStyle w:val="17"/>
                    <w:keepNext w:val="0"/>
                    <w:keepLines w:val="0"/>
                    <w:pageBreakBefore w:val="0"/>
                    <w:kinsoku/>
                    <w:wordWrap/>
                    <w:overflowPunct w:val="0"/>
                    <w:topLinePunct w:val="0"/>
                    <w:bidi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85</w:t>
                  </w:r>
                </w:p>
              </w:tc>
            </w:tr>
          </w:tbl>
          <w:p>
            <w:pPr>
              <w:pStyle w:val="8"/>
              <w:keepNext w:val="0"/>
              <w:keepLines w:val="0"/>
              <w:pageBreakBefore w:val="0"/>
              <w:kinsoku/>
              <w:wordWrap/>
              <w:overflowPunct w:val="0"/>
              <w:topLinePunct w:val="0"/>
              <w:bidi w:val="0"/>
              <w:ind w:firstLine="482"/>
              <w:rPr>
                <w:b/>
                <w:bCs/>
                <w:highlight w:val="none"/>
                <w:lang w:eastAsia="zh-CN"/>
              </w:rPr>
            </w:pPr>
            <w:r>
              <w:rPr>
                <w:rFonts w:hint="eastAsia"/>
                <w:b/>
                <w:bCs/>
                <w:highlight w:val="none"/>
                <w:lang w:eastAsia="zh-CN"/>
              </w:rPr>
              <w:t>2、废水排放标准</w:t>
            </w:r>
          </w:p>
          <w:p>
            <w:pPr>
              <w:pStyle w:val="8"/>
              <w:keepNext w:val="0"/>
              <w:keepLines w:val="0"/>
              <w:pageBreakBefore w:val="0"/>
              <w:kinsoku/>
              <w:wordWrap/>
              <w:overflowPunct w:val="0"/>
              <w:topLinePunct w:val="0"/>
              <w:bidi w:val="0"/>
              <w:ind w:firstLine="480"/>
              <w:rPr>
                <w:color w:val="000000" w:themeColor="text1"/>
                <w:highlight w:val="none"/>
                <w:lang w:eastAsia="zh-CN"/>
                <w14:textFill>
                  <w14:solidFill>
                    <w14:schemeClr w14:val="tx1"/>
                  </w14:solidFill>
                </w14:textFill>
              </w:rPr>
            </w:pPr>
            <w:r>
              <w:rPr>
                <w:rFonts w:hint="eastAsia"/>
                <w:highlight w:val="none"/>
                <w:lang w:eastAsia="zh-CN"/>
              </w:rPr>
              <w:t>本项目废水仅为生活废水、餐饮废水、未可预见废水，废水污染物排放执行西部组团污水处理厂接管标准，污水处理厂尾水水质执行《城镇污水处理厂污染物排放标准》（GB18918-2002）一级A标准（COD、NH</w:t>
            </w:r>
            <w:r>
              <w:rPr>
                <w:rFonts w:hint="eastAsia"/>
                <w:highlight w:val="none"/>
                <w:vertAlign w:val="subscript"/>
                <w:lang w:eastAsia="zh-CN"/>
              </w:rPr>
              <w:t>3</w:t>
            </w:r>
            <w:r>
              <w:rPr>
                <w:rFonts w:hint="eastAsia"/>
                <w:highlight w:val="none"/>
                <w:lang w:eastAsia="zh-CN"/>
              </w:rPr>
              <w:t>-N、TP、TN同时满足《巢湖流域城镇污水处理厂和工业行业主要水污染物排放限值》（DB34/2710-2016）表2中标准要求）。具体排放标</w:t>
            </w:r>
            <w:r>
              <w:rPr>
                <w:rFonts w:hint="eastAsia"/>
                <w:color w:val="000000" w:themeColor="text1"/>
                <w:highlight w:val="none"/>
                <w:lang w:eastAsia="zh-CN"/>
                <w14:textFill>
                  <w14:solidFill>
                    <w14:schemeClr w14:val="tx1"/>
                  </w14:solidFill>
                </w14:textFill>
              </w:rPr>
              <w:t>准见表3-5。</w:t>
            </w:r>
          </w:p>
          <w:p>
            <w:pPr>
              <w:pStyle w:val="18"/>
              <w:keepNext w:val="0"/>
              <w:keepLines w:val="0"/>
              <w:pageBreakBefore w:val="0"/>
              <w:kinsoku/>
              <w:wordWrap/>
              <w:overflowPunct w:val="0"/>
              <w:topLinePunct w:val="0"/>
              <w:bidi w:val="0"/>
              <w:rPr>
                <w:highlight w:val="none"/>
                <w:lang w:eastAsia="zh-CN"/>
              </w:rPr>
            </w:pPr>
            <w:r>
              <w:rPr>
                <w:highlight w:val="none"/>
                <w:lang w:eastAsia="zh-CN"/>
              </w:rPr>
              <w:t>表3-</w:t>
            </w:r>
            <w:r>
              <w:rPr>
                <w:rFonts w:hint="eastAsia"/>
                <w:highlight w:val="none"/>
                <w:lang w:val="en-US" w:eastAsia="zh-CN"/>
              </w:rPr>
              <w:t>6</w:t>
            </w:r>
            <w:r>
              <w:rPr>
                <w:highlight w:val="none"/>
                <w:lang w:eastAsia="zh-CN"/>
              </w:rPr>
              <w:t xml:space="preserve">  废水污染物排放标准 单位：mg/L、pH无量纲</w:t>
            </w:r>
          </w:p>
          <w:tbl>
            <w:tblPr>
              <w:tblStyle w:val="14"/>
              <w:tblW w:w="81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9"/>
              <w:gridCol w:w="622"/>
              <w:gridCol w:w="747"/>
              <w:gridCol w:w="812"/>
              <w:gridCol w:w="622"/>
              <w:gridCol w:w="937"/>
              <w:gridCol w:w="616"/>
              <w:gridCol w:w="776"/>
              <w:gridCol w:w="7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 w:hRule="atLeast"/>
                <w:jc w:val="center"/>
              </w:trPr>
              <w:tc>
                <w:tcPr>
                  <w:tcW w:w="2274" w:type="dxa"/>
                  <w:vAlign w:val="center"/>
                </w:tcPr>
                <w:p>
                  <w:pPr>
                    <w:pStyle w:val="17"/>
                    <w:keepNext w:val="0"/>
                    <w:keepLines w:val="0"/>
                    <w:pageBreakBefore w:val="0"/>
                    <w:kinsoku/>
                    <w:wordWrap/>
                    <w:overflowPunct w:val="0"/>
                    <w:topLinePunct w:val="0"/>
                    <w:bidi w:val="0"/>
                    <w:rPr>
                      <w:highlight w:val="none"/>
                      <w:lang w:eastAsia="en-US"/>
                    </w:rPr>
                  </w:pPr>
                  <w:r>
                    <w:rPr>
                      <w:highlight w:val="none"/>
                    </w:rPr>
                    <w:t>指标</w:t>
                  </w:r>
                </w:p>
              </w:tc>
              <w:tc>
                <w:tcPr>
                  <w:tcW w:w="625" w:type="dxa"/>
                  <w:vAlign w:val="center"/>
                </w:tcPr>
                <w:p>
                  <w:pPr>
                    <w:pStyle w:val="17"/>
                    <w:keepNext w:val="0"/>
                    <w:keepLines w:val="0"/>
                    <w:pageBreakBefore w:val="0"/>
                    <w:kinsoku/>
                    <w:wordWrap/>
                    <w:overflowPunct w:val="0"/>
                    <w:topLinePunct w:val="0"/>
                    <w:bidi w:val="0"/>
                    <w:rPr>
                      <w:color w:val="auto"/>
                      <w:highlight w:val="none"/>
                      <w:lang w:eastAsia="en-US"/>
                    </w:rPr>
                  </w:pPr>
                  <w:r>
                    <w:rPr>
                      <w:color w:val="auto"/>
                      <w:highlight w:val="none"/>
                    </w:rPr>
                    <w:t>pH</w:t>
                  </w:r>
                </w:p>
              </w:tc>
              <w:tc>
                <w:tcPr>
                  <w:tcW w:w="750" w:type="dxa"/>
                  <w:vAlign w:val="center"/>
                </w:tcPr>
                <w:p>
                  <w:pPr>
                    <w:pStyle w:val="17"/>
                    <w:keepNext w:val="0"/>
                    <w:keepLines w:val="0"/>
                    <w:pageBreakBefore w:val="0"/>
                    <w:kinsoku/>
                    <w:wordWrap/>
                    <w:overflowPunct w:val="0"/>
                    <w:topLinePunct w:val="0"/>
                    <w:bidi w:val="0"/>
                    <w:rPr>
                      <w:color w:val="auto"/>
                      <w:highlight w:val="none"/>
                      <w:lang w:eastAsia="en-US"/>
                    </w:rPr>
                  </w:pPr>
                  <w:r>
                    <w:rPr>
                      <w:color w:val="auto"/>
                      <w:highlight w:val="none"/>
                    </w:rPr>
                    <w:t>COD</w:t>
                  </w:r>
                </w:p>
              </w:tc>
              <w:tc>
                <w:tcPr>
                  <w:tcW w:w="815" w:type="dxa"/>
                  <w:vAlign w:val="center"/>
                </w:tcPr>
                <w:p>
                  <w:pPr>
                    <w:pStyle w:val="17"/>
                    <w:keepNext w:val="0"/>
                    <w:keepLines w:val="0"/>
                    <w:pageBreakBefore w:val="0"/>
                    <w:kinsoku/>
                    <w:wordWrap/>
                    <w:overflowPunct w:val="0"/>
                    <w:topLinePunct w:val="0"/>
                    <w:bidi w:val="0"/>
                    <w:rPr>
                      <w:color w:val="auto"/>
                      <w:highlight w:val="none"/>
                      <w:lang w:eastAsia="en-US"/>
                    </w:rPr>
                  </w:pPr>
                  <w:r>
                    <w:rPr>
                      <w:color w:val="auto"/>
                      <w:highlight w:val="none"/>
                    </w:rPr>
                    <w:t>BOD</w:t>
                  </w:r>
                  <w:r>
                    <w:rPr>
                      <w:color w:val="auto"/>
                      <w:highlight w:val="none"/>
                      <w:vertAlign w:val="subscript"/>
                    </w:rPr>
                    <w:t>5</w:t>
                  </w:r>
                </w:p>
              </w:tc>
              <w:tc>
                <w:tcPr>
                  <w:tcW w:w="625" w:type="dxa"/>
                  <w:vAlign w:val="center"/>
                </w:tcPr>
                <w:p>
                  <w:pPr>
                    <w:pStyle w:val="17"/>
                    <w:keepNext w:val="0"/>
                    <w:keepLines w:val="0"/>
                    <w:pageBreakBefore w:val="0"/>
                    <w:kinsoku/>
                    <w:wordWrap/>
                    <w:overflowPunct w:val="0"/>
                    <w:topLinePunct w:val="0"/>
                    <w:bidi w:val="0"/>
                    <w:rPr>
                      <w:color w:val="auto"/>
                      <w:highlight w:val="none"/>
                      <w:lang w:eastAsia="en-US"/>
                    </w:rPr>
                  </w:pPr>
                  <w:r>
                    <w:rPr>
                      <w:color w:val="auto"/>
                      <w:highlight w:val="none"/>
                    </w:rPr>
                    <w:t>SS</w:t>
                  </w:r>
                </w:p>
              </w:tc>
              <w:tc>
                <w:tcPr>
                  <w:tcW w:w="939" w:type="dxa"/>
                  <w:vAlign w:val="center"/>
                </w:tcPr>
                <w:p>
                  <w:pPr>
                    <w:pStyle w:val="17"/>
                    <w:keepNext w:val="0"/>
                    <w:keepLines w:val="0"/>
                    <w:pageBreakBefore w:val="0"/>
                    <w:kinsoku/>
                    <w:wordWrap/>
                    <w:overflowPunct w:val="0"/>
                    <w:topLinePunct w:val="0"/>
                    <w:bidi w:val="0"/>
                    <w:rPr>
                      <w:color w:val="auto"/>
                      <w:highlight w:val="none"/>
                      <w:lang w:eastAsia="en-US"/>
                    </w:rPr>
                  </w:pPr>
                  <w:r>
                    <w:rPr>
                      <w:color w:val="auto"/>
                      <w:highlight w:val="none"/>
                    </w:rPr>
                    <w:t>NH</w:t>
                  </w:r>
                  <w:r>
                    <w:rPr>
                      <w:color w:val="auto"/>
                      <w:highlight w:val="none"/>
                      <w:vertAlign w:val="subscript"/>
                    </w:rPr>
                    <w:t>3</w:t>
                  </w:r>
                  <w:r>
                    <w:rPr>
                      <w:color w:val="auto"/>
                      <w:highlight w:val="none"/>
                    </w:rPr>
                    <w:t>-N</w:t>
                  </w:r>
                </w:p>
              </w:tc>
              <w:tc>
                <w:tcPr>
                  <w:tcW w:w="620" w:type="dxa"/>
                  <w:vAlign w:val="center"/>
                </w:tcPr>
                <w:p>
                  <w:pPr>
                    <w:pStyle w:val="17"/>
                    <w:keepNext w:val="0"/>
                    <w:keepLines w:val="0"/>
                    <w:pageBreakBefore w:val="0"/>
                    <w:kinsoku/>
                    <w:wordWrap/>
                    <w:overflowPunct w:val="0"/>
                    <w:topLinePunct w:val="0"/>
                    <w:bidi w:val="0"/>
                    <w:rPr>
                      <w:color w:val="auto"/>
                      <w:highlight w:val="none"/>
                      <w:lang w:eastAsia="en-US"/>
                    </w:rPr>
                  </w:pPr>
                  <w:r>
                    <w:rPr>
                      <w:color w:val="auto"/>
                      <w:highlight w:val="none"/>
                    </w:rPr>
                    <w:t>TN</w:t>
                  </w:r>
                </w:p>
              </w:tc>
              <w:tc>
                <w:tcPr>
                  <w:tcW w:w="743" w:type="dxa"/>
                  <w:vAlign w:val="center"/>
                </w:tcPr>
                <w:p>
                  <w:pPr>
                    <w:pStyle w:val="17"/>
                    <w:keepNext w:val="0"/>
                    <w:keepLines w:val="0"/>
                    <w:pageBreakBefore w:val="0"/>
                    <w:kinsoku/>
                    <w:wordWrap/>
                    <w:overflowPunct w:val="0"/>
                    <w:topLinePunct w:val="0"/>
                    <w:bidi w:val="0"/>
                    <w:rPr>
                      <w:color w:val="auto"/>
                      <w:highlight w:val="none"/>
                      <w:lang w:eastAsia="en-US"/>
                    </w:rPr>
                  </w:pPr>
                  <w:r>
                    <w:rPr>
                      <w:color w:val="auto"/>
                      <w:highlight w:val="none"/>
                    </w:rPr>
                    <w:t>TP</w:t>
                  </w:r>
                </w:p>
              </w:tc>
              <w:tc>
                <w:tcPr>
                  <w:tcW w:w="743" w:type="dxa"/>
                  <w:vAlign w:val="center"/>
                </w:tcPr>
                <w:p>
                  <w:pPr>
                    <w:pStyle w:val="17"/>
                    <w:keepNext w:val="0"/>
                    <w:keepLines w:val="0"/>
                    <w:pageBreakBefore w:val="0"/>
                    <w:kinsoku/>
                    <w:wordWrap/>
                    <w:overflowPunct w:val="0"/>
                    <w:topLinePunct w:val="0"/>
                    <w:bidi w:val="0"/>
                    <w:rPr>
                      <w:color w:val="auto"/>
                      <w:highlight w:val="none"/>
                    </w:rPr>
                  </w:pPr>
                  <w:r>
                    <w:rPr>
                      <w:rFonts w:hint="eastAsia"/>
                      <w:color w:val="auto"/>
                      <w:highlight w:val="none"/>
                    </w:rPr>
                    <w:t>动植物油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jc w:val="center"/>
              </w:trPr>
              <w:tc>
                <w:tcPr>
                  <w:tcW w:w="2274" w:type="dxa"/>
                  <w:vAlign w:val="center"/>
                </w:tcPr>
                <w:p>
                  <w:pPr>
                    <w:pStyle w:val="17"/>
                    <w:keepNext w:val="0"/>
                    <w:keepLines w:val="0"/>
                    <w:pageBreakBefore w:val="0"/>
                    <w:kinsoku/>
                    <w:wordWrap/>
                    <w:overflowPunct w:val="0"/>
                    <w:topLinePunct w:val="0"/>
                    <w:bidi w:val="0"/>
                    <w:rPr>
                      <w:highlight w:val="none"/>
                    </w:rPr>
                  </w:pPr>
                  <w:r>
                    <w:rPr>
                      <w:highlight w:val="none"/>
                    </w:rPr>
                    <w:t>合肥西部组团污水处理厂接管标准</w:t>
                  </w:r>
                </w:p>
              </w:tc>
              <w:tc>
                <w:tcPr>
                  <w:tcW w:w="625" w:type="dxa"/>
                  <w:vAlign w:val="center"/>
                </w:tcPr>
                <w:p>
                  <w:pPr>
                    <w:pStyle w:val="17"/>
                    <w:keepNext w:val="0"/>
                    <w:keepLines w:val="0"/>
                    <w:pageBreakBefore w:val="0"/>
                    <w:kinsoku/>
                    <w:wordWrap/>
                    <w:overflowPunct w:val="0"/>
                    <w:topLinePunct w:val="0"/>
                    <w:bidi w:val="0"/>
                    <w:rPr>
                      <w:highlight w:val="none"/>
                      <w:lang w:eastAsia="en-US"/>
                    </w:rPr>
                  </w:pPr>
                  <w:r>
                    <w:rPr>
                      <w:highlight w:val="none"/>
                    </w:rPr>
                    <w:t>6~9</w:t>
                  </w:r>
                </w:p>
              </w:tc>
              <w:tc>
                <w:tcPr>
                  <w:tcW w:w="750" w:type="dxa"/>
                  <w:vAlign w:val="center"/>
                </w:tcPr>
                <w:p>
                  <w:pPr>
                    <w:pStyle w:val="17"/>
                    <w:keepNext w:val="0"/>
                    <w:keepLines w:val="0"/>
                    <w:pageBreakBefore w:val="0"/>
                    <w:kinsoku/>
                    <w:wordWrap/>
                    <w:overflowPunct w:val="0"/>
                    <w:topLinePunct w:val="0"/>
                    <w:bidi w:val="0"/>
                    <w:rPr>
                      <w:highlight w:val="none"/>
                      <w:lang w:eastAsia="en-US"/>
                    </w:rPr>
                  </w:pPr>
                  <w:r>
                    <w:rPr>
                      <w:highlight w:val="none"/>
                    </w:rPr>
                    <w:t>350</w:t>
                  </w:r>
                </w:p>
              </w:tc>
              <w:tc>
                <w:tcPr>
                  <w:tcW w:w="815" w:type="dxa"/>
                  <w:vAlign w:val="center"/>
                </w:tcPr>
                <w:p>
                  <w:pPr>
                    <w:pStyle w:val="17"/>
                    <w:keepNext w:val="0"/>
                    <w:keepLines w:val="0"/>
                    <w:pageBreakBefore w:val="0"/>
                    <w:kinsoku/>
                    <w:wordWrap/>
                    <w:overflowPunct w:val="0"/>
                    <w:topLinePunct w:val="0"/>
                    <w:bidi w:val="0"/>
                    <w:rPr>
                      <w:highlight w:val="none"/>
                      <w:lang w:eastAsia="en-US"/>
                    </w:rPr>
                  </w:pPr>
                  <w:r>
                    <w:rPr>
                      <w:highlight w:val="none"/>
                    </w:rPr>
                    <w:t>180</w:t>
                  </w:r>
                </w:p>
              </w:tc>
              <w:tc>
                <w:tcPr>
                  <w:tcW w:w="625" w:type="dxa"/>
                  <w:vAlign w:val="center"/>
                </w:tcPr>
                <w:p>
                  <w:pPr>
                    <w:pStyle w:val="17"/>
                    <w:keepNext w:val="0"/>
                    <w:keepLines w:val="0"/>
                    <w:pageBreakBefore w:val="0"/>
                    <w:kinsoku/>
                    <w:wordWrap/>
                    <w:overflowPunct w:val="0"/>
                    <w:topLinePunct w:val="0"/>
                    <w:bidi w:val="0"/>
                    <w:rPr>
                      <w:highlight w:val="none"/>
                      <w:lang w:eastAsia="en-US"/>
                    </w:rPr>
                  </w:pPr>
                  <w:r>
                    <w:rPr>
                      <w:highlight w:val="none"/>
                    </w:rPr>
                    <w:t>250</w:t>
                  </w:r>
                </w:p>
              </w:tc>
              <w:tc>
                <w:tcPr>
                  <w:tcW w:w="939" w:type="dxa"/>
                  <w:vAlign w:val="center"/>
                </w:tcPr>
                <w:p>
                  <w:pPr>
                    <w:pStyle w:val="17"/>
                    <w:keepNext w:val="0"/>
                    <w:keepLines w:val="0"/>
                    <w:pageBreakBefore w:val="0"/>
                    <w:kinsoku/>
                    <w:wordWrap/>
                    <w:overflowPunct w:val="0"/>
                    <w:topLinePunct w:val="0"/>
                    <w:bidi w:val="0"/>
                    <w:rPr>
                      <w:highlight w:val="none"/>
                      <w:lang w:eastAsia="en-US"/>
                    </w:rPr>
                  </w:pPr>
                  <w:r>
                    <w:rPr>
                      <w:highlight w:val="none"/>
                    </w:rPr>
                    <w:t>35</w:t>
                  </w:r>
                </w:p>
              </w:tc>
              <w:tc>
                <w:tcPr>
                  <w:tcW w:w="620" w:type="dxa"/>
                  <w:vAlign w:val="center"/>
                </w:tcPr>
                <w:p>
                  <w:pPr>
                    <w:pStyle w:val="17"/>
                    <w:keepNext w:val="0"/>
                    <w:keepLines w:val="0"/>
                    <w:pageBreakBefore w:val="0"/>
                    <w:kinsoku/>
                    <w:wordWrap/>
                    <w:overflowPunct w:val="0"/>
                    <w:topLinePunct w:val="0"/>
                    <w:bidi w:val="0"/>
                    <w:rPr>
                      <w:highlight w:val="none"/>
                      <w:lang w:eastAsia="en-US"/>
                    </w:rPr>
                  </w:pPr>
                  <w:r>
                    <w:rPr>
                      <w:highlight w:val="none"/>
                    </w:rPr>
                    <w:t>50</w:t>
                  </w:r>
                </w:p>
              </w:tc>
              <w:tc>
                <w:tcPr>
                  <w:tcW w:w="743" w:type="dxa"/>
                  <w:vAlign w:val="center"/>
                </w:tcPr>
                <w:p>
                  <w:pPr>
                    <w:pStyle w:val="17"/>
                    <w:keepNext w:val="0"/>
                    <w:keepLines w:val="0"/>
                    <w:pageBreakBefore w:val="0"/>
                    <w:kinsoku/>
                    <w:wordWrap/>
                    <w:overflowPunct w:val="0"/>
                    <w:topLinePunct w:val="0"/>
                    <w:bidi w:val="0"/>
                    <w:rPr>
                      <w:highlight w:val="none"/>
                      <w:lang w:eastAsia="en-US"/>
                    </w:rPr>
                  </w:pPr>
                  <w:r>
                    <w:rPr>
                      <w:highlight w:val="none"/>
                    </w:rPr>
                    <w:t>6</w:t>
                  </w:r>
                </w:p>
              </w:tc>
              <w:tc>
                <w:tcPr>
                  <w:tcW w:w="743" w:type="dxa"/>
                  <w:vAlign w:val="center"/>
                </w:tcPr>
                <w:p>
                  <w:pPr>
                    <w:pStyle w:val="17"/>
                    <w:keepNext w:val="0"/>
                    <w:keepLines w:val="0"/>
                    <w:pageBreakBefore w:val="0"/>
                    <w:kinsoku/>
                    <w:wordWrap/>
                    <w:overflowPunct w:val="0"/>
                    <w:topLinePunct w:val="0"/>
                    <w:bidi w:val="0"/>
                    <w:rPr>
                      <w:highlight w:val="none"/>
                    </w:rPr>
                  </w:pPr>
                  <w:r>
                    <w:rPr>
                      <w:rFonts w:hint="eastAsia"/>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7" w:hRule="atLeast"/>
                <w:jc w:val="center"/>
              </w:trPr>
              <w:tc>
                <w:tcPr>
                  <w:tcW w:w="2274" w:type="dxa"/>
                  <w:vAlign w:val="center"/>
                </w:tcPr>
                <w:p>
                  <w:pPr>
                    <w:pStyle w:val="17"/>
                    <w:keepNext w:val="0"/>
                    <w:keepLines w:val="0"/>
                    <w:pageBreakBefore w:val="0"/>
                    <w:kinsoku/>
                    <w:wordWrap/>
                    <w:overflowPunct w:val="0"/>
                    <w:topLinePunct w:val="0"/>
                    <w:bidi w:val="0"/>
                    <w:rPr>
                      <w:b/>
                      <w:bCs/>
                      <w:highlight w:val="none"/>
                      <w:lang w:eastAsia="en-US"/>
                    </w:rPr>
                  </w:pPr>
                  <w:r>
                    <w:rPr>
                      <w:b/>
                      <w:bCs/>
                      <w:highlight w:val="none"/>
                    </w:rPr>
                    <w:t>本项目排放标准</w:t>
                  </w:r>
                </w:p>
              </w:tc>
              <w:tc>
                <w:tcPr>
                  <w:tcW w:w="625" w:type="dxa"/>
                  <w:vAlign w:val="center"/>
                </w:tcPr>
                <w:p>
                  <w:pPr>
                    <w:pStyle w:val="17"/>
                    <w:keepNext w:val="0"/>
                    <w:keepLines w:val="0"/>
                    <w:pageBreakBefore w:val="0"/>
                    <w:kinsoku/>
                    <w:wordWrap/>
                    <w:overflowPunct w:val="0"/>
                    <w:topLinePunct w:val="0"/>
                    <w:bidi w:val="0"/>
                    <w:rPr>
                      <w:b/>
                      <w:bCs/>
                      <w:highlight w:val="none"/>
                      <w:lang w:eastAsia="en-US"/>
                    </w:rPr>
                  </w:pPr>
                  <w:r>
                    <w:rPr>
                      <w:b/>
                      <w:bCs/>
                      <w:highlight w:val="none"/>
                    </w:rPr>
                    <w:t>6~9</w:t>
                  </w:r>
                </w:p>
              </w:tc>
              <w:tc>
                <w:tcPr>
                  <w:tcW w:w="750" w:type="dxa"/>
                  <w:vAlign w:val="center"/>
                </w:tcPr>
                <w:p>
                  <w:pPr>
                    <w:pStyle w:val="17"/>
                    <w:keepNext w:val="0"/>
                    <w:keepLines w:val="0"/>
                    <w:pageBreakBefore w:val="0"/>
                    <w:kinsoku/>
                    <w:wordWrap/>
                    <w:overflowPunct w:val="0"/>
                    <w:topLinePunct w:val="0"/>
                    <w:bidi w:val="0"/>
                    <w:rPr>
                      <w:b/>
                      <w:bCs/>
                      <w:highlight w:val="none"/>
                      <w:lang w:eastAsia="en-US"/>
                    </w:rPr>
                  </w:pPr>
                  <w:r>
                    <w:rPr>
                      <w:b/>
                      <w:bCs/>
                      <w:highlight w:val="none"/>
                    </w:rPr>
                    <w:t>350</w:t>
                  </w:r>
                </w:p>
              </w:tc>
              <w:tc>
                <w:tcPr>
                  <w:tcW w:w="815" w:type="dxa"/>
                  <w:vAlign w:val="center"/>
                </w:tcPr>
                <w:p>
                  <w:pPr>
                    <w:pStyle w:val="17"/>
                    <w:keepNext w:val="0"/>
                    <w:keepLines w:val="0"/>
                    <w:pageBreakBefore w:val="0"/>
                    <w:kinsoku/>
                    <w:wordWrap/>
                    <w:overflowPunct w:val="0"/>
                    <w:topLinePunct w:val="0"/>
                    <w:bidi w:val="0"/>
                    <w:rPr>
                      <w:b/>
                      <w:bCs/>
                      <w:highlight w:val="none"/>
                      <w:lang w:eastAsia="en-US"/>
                    </w:rPr>
                  </w:pPr>
                  <w:r>
                    <w:rPr>
                      <w:b/>
                      <w:bCs/>
                      <w:highlight w:val="none"/>
                    </w:rPr>
                    <w:t>180</w:t>
                  </w:r>
                </w:p>
              </w:tc>
              <w:tc>
                <w:tcPr>
                  <w:tcW w:w="625" w:type="dxa"/>
                  <w:vAlign w:val="center"/>
                </w:tcPr>
                <w:p>
                  <w:pPr>
                    <w:pStyle w:val="17"/>
                    <w:keepNext w:val="0"/>
                    <w:keepLines w:val="0"/>
                    <w:pageBreakBefore w:val="0"/>
                    <w:kinsoku/>
                    <w:wordWrap/>
                    <w:overflowPunct w:val="0"/>
                    <w:topLinePunct w:val="0"/>
                    <w:bidi w:val="0"/>
                    <w:rPr>
                      <w:b/>
                      <w:bCs/>
                      <w:highlight w:val="none"/>
                      <w:lang w:eastAsia="en-US"/>
                    </w:rPr>
                  </w:pPr>
                  <w:r>
                    <w:rPr>
                      <w:b/>
                      <w:bCs/>
                      <w:highlight w:val="none"/>
                    </w:rPr>
                    <w:t>250</w:t>
                  </w:r>
                </w:p>
              </w:tc>
              <w:tc>
                <w:tcPr>
                  <w:tcW w:w="939" w:type="dxa"/>
                  <w:vAlign w:val="center"/>
                </w:tcPr>
                <w:p>
                  <w:pPr>
                    <w:pStyle w:val="17"/>
                    <w:keepNext w:val="0"/>
                    <w:keepLines w:val="0"/>
                    <w:pageBreakBefore w:val="0"/>
                    <w:kinsoku/>
                    <w:wordWrap/>
                    <w:overflowPunct w:val="0"/>
                    <w:topLinePunct w:val="0"/>
                    <w:bidi w:val="0"/>
                    <w:rPr>
                      <w:b/>
                      <w:bCs/>
                      <w:highlight w:val="none"/>
                      <w:lang w:eastAsia="en-US"/>
                    </w:rPr>
                  </w:pPr>
                  <w:r>
                    <w:rPr>
                      <w:b/>
                      <w:bCs/>
                      <w:highlight w:val="none"/>
                    </w:rPr>
                    <w:t>35</w:t>
                  </w:r>
                </w:p>
              </w:tc>
              <w:tc>
                <w:tcPr>
                  <w:tcW w:w="620" w:type="dxa"/>
                  <w:vAlign w:val="center"/>
                </w:tcPr>
                <w:p>
                  <w:pPr>
                    <w:pStyle w:val="17"/>
                    <w:keepNext w:val="0"/>
                    <w:keepLines w:val="0"/>
                    <w:pageBreakBefore w:val="0"/>
                    <w:kinsoku/>
                    <w:wordWrap/>
                    <w:overflowPunct w:val="0"/>
                    <w:topLinePunct w:val="0"/>
                    <w:bidi w:val="0"/>
                    <w:rPr>
                      <w:b/>
                      <w:bCs/>
                      <w:highlight w:val="none"/>
                      <w:lang w:eastAsia="en-US"/>
                    </w:rPr>
                  </w:pPr>
                  <w:r>
                    <w:rPr>
                      <w:b/>
                      <w:bCs/>
                      <w:highlight w:val="none"/>
                    </w:rPr>
                    <w:t>50</w:t>
                  </w:r>
                </w:p>
              </w:tc>
              <w:tc>
                <w:tcPr>
                  <w:tcW w:w="743" w:type="dxa"/>
                  <w:vAlign w:val="center"/>
                </w:tcPr>
                <w:p>
                  <w:pPr>
                    <w:pStyle w:val="17"/>
                    <w:keepNext w:val="0"/>
                    <w:keepLines w:val="0"/>
                    <w:pageBreakBefore w:val="0"/>
                    <w:kinsoku/>
                    <w:wordWrap/>
                    <w:overflowPunct w:val="0"/>
                    <w:topLinePunct w:val="0"/>
                    <w:bidi w:val="0"/>
                    <w:rPr>
                      <w:b/>
                      <w:bCs/>
                      <w:highlight w:val="none"/>
                      <w:lang w:eastAsia="en-US"/>
                    </w:rPr>
                  </w:pPr>
                  <w:r>
                    <w:rPr>
                      <w:b/>
                      <w:bCs/>
                      <w:highlight w:val="none"/>
                    </w:rPr>
                    <w:t>6</w:t>
                  </w:r>
                </w:p>
              </w:tc>
              <w:tc>
                <w:tcPr>
                  <w:tcW w:w="743" w:type="dxa"/>
                  <w:vAlign w:val="center"/>
                </w:tcPr>
                <w:p>
                  <w:pPr>
                    <w:pStyle w:val="17"/>
                    <w:keepNext w:val="0"/>
                    <w:keepLines w:val="0"/>
                    <w:pageBreakBefore w:val="0"/>
                    <w:kinsoku/>
                    <w:wordWrap/>
                    <w:overflowPunct w:val="0"/>
                    <w:topLinePunct w:val="0"/>
                    <w:bidi w:val="0"/>
                    <w:rPr>
                      <w:b/>
                      <w:bCs/>
                      <w:highlight w:val="none"/>
                    </w:rPr>
                  </w:pPr>
                  <w:r>
                    <w:rPr>
                      <w:rFonts w:hint="eastAsia"/>
                      <w:b/>
                      <w:bCs/>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2274" w:type="dxa"/>
                  <w:vAlign w:val="center"/>
                </w:tcPr>
                <w:p>
                  <w:pPr>
                    <w:pStyle w:val="17"/>
                    <w:keepNext w:val="0"/>
                    <w:keepLines w:val="0"/>
                    <w:pageBreakBefore w:val="0"/>
                    <w:kinsoku/>
                    <w:wordWrap/>
                    <w:overflowPunct w:val="0"/>
                    <w:topLinePunct w:val="0"/>
                    <w:bidi w:val="0"/>
                    <w:rPr>
                      <w:highlight w:val="none"/>
                    </w:rPr>
                  </w:pPr>
                  <w:r>
                    <w:rPr>
                      <w:highlight w:val="none"/>
                    </w:rPr>
                    <w:t>《巢湖流域城镇污水处理厂和工业行业主要水污染物排放限值》（DB34/2710-2016）表2中标准</w:t>
                  </w:r>
                </w:p>
              </w:tc>
              <w:tc>
                <w:tcPr>
                  <w:tcW w:w="625" w:type="dxa"/>
                  <w:vAlign w:val="center"/>
                </w:tcPr>
                <w:p>
                  <w:pPr>
                    <w:pStyle w:val="17"/>
                    <w:keepNext w:val="0"/>
                    <w:keepLines w:val="0"/>
                    <w:pageBreakBefore w:val="0"/>
                    <w:kinsoku/>
                    <w:wordWrap/>
                    <w:overflowPunct w:val="0"/>
                    <w:topLinePunct w:val="0"/>
                    <w:bidi w:val="0"/>
                    <w:rPr>
                      <w:highlight w:val="none"/>
                      <w:lang w:eastAsia="en-US"/>
                    </w:rPr>
                  </w:pPr>
                  <w:r>
                    <w:rPr>
                      <w:highlight w:val="none"/>
                    </w:rPr>
                    <w:t>6~9</w:t>
                  </w:r>
                </w:p>
              </w:tc>
              <w:tc>
                <w:tcPr>
                  <w:tcW w:w="750" w:type="dxa"/>
                  <w:vAlign w:val="center"/>
                </w:tcPr>
                <w:p>
                  <w:pPr>
                    <w:pStyle w:val="17"/>
                    <w:keepNext w:val="0"/>
                    <w:keepLines w:val="0"/>
                    <w:pageBreakBefore w:val="0"/>
                    <w:kinsoku/>
                    <w:wordWrap/>
                    <w:overflowPunct w:val="0"/>
                    <w:topLinePunct w:val="0"/>
                    <w:bidi w:val="0"/>
                    <w:rPr>
                      <w:highlight w:val="none"/>
                      <w:lang w:eastAsia="en-US"/>
                    </w:rPr>
                  </w:pPr>
                  <w:r>
                    <w:rPr>
                      <w:highlight w:val="none"/>
                    </w:rPr>
                    <w:t>40</w:t>
                  </w:r>
                </w:p>
              </w:tc>
              <w:tc>
                <w:tcPr>
                  <w:tcW w:w="815" w:type="dxa"/>
                  <w:vAlign w:val="center"/>
                </w:tcPr>
                <w:p>
                  <w:pPr>
                    <w:pStyle w:val="17"/>
                    <w:keepNext w:val="0"/>
                    <w:keepLines w:val="0"/>
                    <w:pageBreakBefore w:val="0"/>
                    <w:kinsoku/>
                    <w:wordWrap/>
                    <w:overflowPunct w:val="0"/>
                    <w:topLinePunct w:val="0"/>
                    <w:bidi w:val="0"/>
                    <w:rPr>
                      <w:highlight w:val="none"/>
                      <w:lang w:eastAsia="en-US"/>
                    </w:rPr>
                  </w:pPr>
                  <w:r>
                    <w:rPr>
                      <w:highlight w:val="none"/>
                    </w:rPr>
                    <w:t>/</w:t>
                  </w:r>
                </w:p>
              </w:tc>
              <w:tc>
                <w:tcPr>
                  <w:tcW w:w="625" w:type="dxa"/>
                  <w:vAlign w:val="center"/>
                </w:tcPr>
                <w:p>
                  <w:pPr>
                    <w:pStyle w:val="17"/>
                    <w:keepNext w:val="0"/>
                    <w:keepLines w:val="0"/>
                    <w:pageBreakBefore w:val="0"/>
                    <w:kinsoku/>
                    <w:wordWrap/>
                    <w:overflowPunct w:val="0"/>
                    <w:topLinePunct w:val="0"/>
                    <w:bidi w:val="0"/>
                    <w:rPr>
                      <w:highlight w:val="none"/>
                      <w:lang w:eastAsia="en-US"/>
                    </w:rPr>
                  </w:pPr>
                  <w:r>
                    <w:rPr>
                      <w:highlight w:val="none"/>
                    </w:rPr>
                    <w:t>/</w:t>
                  </w:r>
                </w:p>
              </w:tc>
              <w:tc>
                <w:tcPr>
                  <w:tcW w:w="939" w:type="dxa"/>
                  <w:vAlign w:val="center"/>
                </w:tcPr>
                <w:p>
                  <w:pPr>
                    <w:pStyle w:val="17"/>
                    <w:keepNext w:val="0"/>
                    <w:keepLines w:val="0"/>
                    <w:pageBreakBefore w:val="0"/>
                    <w:kinsoku/>
                    <w:wordWrap/>
                    <w:overflowPunct w:val="0"/>
                    <w:topLinePunct w:val="0"/>
                    <w:bidi w:val="0"/>
                    <w:rPr>
                      <w:highlight w:val="none"/>
                      <w:lang w:eastAsia="en-US"/>
                    </w:rPr>
                  </w:pPr>
                  <w:r>
                    <w:rPr>
                      <w:highlight w:val="none"/>
                    </w:rPr>
                    <w:t>2.0(3.0)</w:t>
                  </w:r>
                </w:p>
              </w:tc>
              <w:tc>
                <w:tcPr>
                  <w:tcW w:w="620" w:type="dxa"/>
                  <w:vAlign w:val="center"/>
                </w:tcPr>
                <w:p>
                  <w:pPr>
                    <w:pStyle w:val="17"/>
                    <w:keepNext w:val="0"/>
                    <w:keepLines w:val="0"/>
                    <w:pageBreakBefore w:val="0"/>
                    <w:kinsoku/>
                    <w:wordWrap/>
                    <w:overflowPunct w:val="0"/>
                    <w:topLinePunct w:val="0"/>
                    <w:bidi w:val="0"/>
                    <w:rPr>
                      <w:highlight w:val="none"/>
                      <w:lang w:eastAsia="en-US"/>
                    </w:rPr>
                  </w:pPr>
                  <w:r>
                    <w:rPr>
                      <w:highlight w:val="none"/>
                    </w:rPr>
                    <w:t>0.3</w:t>
                  </w:r>
                </w:p>
              </w:tc>
              <w:tc>
                <w:tcPr>
                  <w:tcW w:w="743" w:type="dxa"/>
                  <w:vAlign w:val="center"/>
                </w:tcPr>
                <w:p>
                  <w:pPr>
                    <w:pStyle w:val="17"/>
                    <w:keepNext w:val="0"/>
                    <w:keepLines w:val="0"/>
                    <w:pageBreakBefore w:val="0"/>
                    <w:kinsoku/>
                    <w:wordWrap/>
                    <w:overflowPunct w:val="0"/>
                    <w:topLinePunct w:val="0"/>
                    <w:bidi w:val="0"/>
                    <w:rPr>
                      <w:highlight w:val="none"/>
                      <w:lang w:eastAsia="en-US"/>
                    </w:rPr>
                  </w:pPr>
                  <w:r>
                    <w:rPr>
                      <w:highlight w:val="none"/>
                    </w:rPr>
                    <w:t>10(12)</w:t>
                  </w:r>
                </w:p>
              </w:tc>
              <w:tc>
                <w:tcPr>
                  <w:tcW w:w="743" w:type="dxa"/>
                  <w:vAlign w:val="center"/>
                </w:tcPr>
                <w:p>
                  <w:pPr>
                    <w:pStyle w:val="17"/>
                    <w:keepNext w:val="0"/>
                    <w:keepLines w:val="0"/>
                    <w:pageBreakBefore w:val="0"/>
                    <w:kinsoku/>
                    <w:wordWrap/>
                    <w:overflowPunct w:val="0"/>
                    <w:topLinePunct w:val="0"/>
                    <w:bidi w:val="0"/>
                    <w:rPr>
                      <w:highlight w:val="none"/>
                    </w:rPr>
                  </w:pPr>
                  <w:r>
                    <w:rPr>
                      <w:rFonts w:hint="eastAsia"/>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6" w:hRule="atLeast"/>
                <w:jc w:val="center"/>
              </w:trPr>
              <w:tc>
                <w:tcPr>
                  <w:tcW w:w="2274" w:type="dxa"/>
                  <w:vAlign w:val="center"/>
                </w:tcPr>
                <w:p>
                  <w:pPr>
                    <w:pStyle w:val="17"/>
                    <w:keepNext w:val="0"/>
                    <w:keepLines w:val="0"/>
                    <w:pageBreakBefore w:val="0"/>
                    <w:kinsoku/>
                    <w:wordWrap/>
                    <w:overflowPunct w:val="0"/>
                    <w:topLinePunct w:val="0"/>
                    <w:bidi w:val="0"/>
                    <w:rPr>
                      <w:highlight w:val="none"/>
                    </w:rPr>
                  </w:pPr>
                  <w:r>
                    <w:rPr>
                      <w:highlight w:val="none"/>
                    </w:rPr>
                    <w:t>《城镇污水处理厂污染物排放标准》（GB18918-2002）一级A标准</w:t>
                  </w:r>
                </w:p>
              </w:tc>
              <w:tc>
                <w:tcPr>
                  <w:tcW w:w="625" w:type="dxa"/>
                  <w:vAlign w:val="center"/>
                </w:tcPr>
                <w:p>
                  <w:pPr>
                    <w:pStyle w:val="17"/>
                    <w:keepNext w:val="0"/>
                    <w:keepLines w:val="0"/>
                    <w:pageBreakBefore w:val="0"/>
                    <w:kinsoku/>
                    <w:wordWrap/>
                    <w:overflowPunct w:val="0"/>
                    <w:topLinePunct w:val="0"/>
                    <w:bidi w:val="0"/>
                    <w:rPr>
                      <w:highlight w:val="none"/>
                      <w:lang w:eastAsia="en-US"/>
                    </w:rPr>
                  </w:pPr>
                  <w:r>
                    <w:rPr>
                      <w:highlight w:val="none"/>
                    </w:rPr>
                    <w:t>6~9</w:t>
                  </w:r>
                </w:p>
              </w:tc>
              <w:tc>
                <w:tcPr>
                  <w:tcW w:w="750" w:type="dxa"/>
                  <w:vAlign w:val="center"/>
                </w:tcPr>
                <w:p>
                  <w:pPr>
                    <w:pStyle w:val="17"/>
                    <w:keepNext w:val="0"/>
                    <w:keepLines w:val="0"/>
                    <w:pageBreakBefore w:val="0"/>
                    <w:kinsoku/>
                    <w:wordWrap/>
                    <w:overflowPunct w:val="0"/>
                    <w:topLinePunct w:val="0"/>
                    <w:bidi w:val="0"/>
                    <w:rPr>
                      <w:highlight w:val="none"/>
                      <w:lang w:eastAsia="en-US"/>
                    </w:rPr>
                  </w:pPr>
                  <w:r>
                    <w:rPr>
                      <w:highlight w:val="none"/>
                    </w:rPr>
                    <w:t>50</w:t>
                  </w:r>
                </w:p>
              </w:tc>
              <w:tc>
                <w:tcPr>
                  <w:tcW w:w="815" w:type="dxa"/>
                  <w:vAlign w:val="center"/>
                </w:tcPr>
                <w:p>
                  <w:pPr>
                    <w:pStyle w:val="17"/>
                    <w:keepNext w:val="0"/>
                    <w:keepLines w:val="0"/>
                    <w:pageBreakBefore w:val="0"/>
                    <w:kinsoku/>
                    <w:wordWrap/>
                    <w:overflowPunct w:val="0"/>
                    <w:topLinePunct w:val="0"/>
                    <w:bidi w:val="0"/>
                    <w:rPr>
                      <w:highlight w:val="none"/>
                      <w:lang w:eastAsia="en-US"/>
                    </w:rPr>
                  </w:pPr>
                  <w:r>
                    <w:rPr>
                      <w:highlight w:val="none"/>
                    </w:rPr>
                    <w:t>10</w:t>
                  </w:r>
                </w:p>
              </w:tc>
              <w:tc>
                <w:tcPr>
                  <w:tcW w:w="625" w:type="dxa"/>
                  <w:vAlign w:val="center"/>
                </w:tcPr>
                <w:p>
                  <w:pPr>
                    <w:pStyle w:val="17"/>
                    <w:keepNext w:val="0"/>
                    <w:keepLines w:val="0"/>
                    <w:pageBreakBefore w:val="0"/>
                    <w:kinsoku/>
                    <w:wordWrap/>
                    <w:overflowPunct w:val="0"/>
                    <w:topLinePunct w:val="0"/>
                    <w:bidi w:val="0"/>
                    <w:rPr>
                      <w:highlight w:val="none"/>
                      <w:lang w:eastAsia="en-US"/>
                    </w:rPr>
                  </w:pPr>
                  <w:r>
                    <w:rPr>
                      <w:highlight w:val="none"/>
                    </w:rPr>
                    <w:t>10</w:t>
                  </w:r>
                </w:p>
              </w:tc>
              <w:tc>
                <w:tcPr>
                  <w:tcW w:w="939" w:type="dxa"/>
                  <w:vAlign w:val="center"/>
                </w:tcPr>
                <w:p>
                  <w:pPr>
                    <w:pStyle w:val="17"/>
                    <w:keepNext w:val="0"/>
                    <w:keepLines w:val="0"/>
                    <w:pageBreakBefore w:val="0"/>
                    <w:kinsoku/>
                    <w:wordWrap/>
                    <w:overflowPunct w:val="0"/>
                    <w:topLinePunct w:val="0"/>
                    <w:bidi w:val="0"/>
                    <w:rPr>
                      <w:highlight w:val="none"/>
                      <w:lang w:eastAsia="en-US"/>
                    </w:rPr>
                  </w:pPr>
                  <w:r>
                    <w:rPr>
                      <w:highlight w:val="none"/>
                    </w:rPr>
                    <w:t>5(8)</w:t>
                  </w:r>
                </w:p>
              </w:tc>
              <w:tc>
                <w:tcPr>
                  <w:tcW w:w="620" w:type="dxa"/>
                  <w:vAlign w:val="center"/>
                </w:tcPr>
                <w:p>
                  <w:pPr>
                    <w:pStyle w:val="17"/>
                    <w:keepNext w:val="0"/>
                    <w:keepLines w:val="0"/>
                    <w:pageBreakBefore w:val="0"/>
                    <w:kinsoku/>
                    <w:wordWrap/>
                    <w:overflowPunct w:val="0"/>
                    <w:topLinePunct w:val="0"/>
                    <w:bidi w:val="0"/>
                    <w:rPr>
                      <w:highlight w:val="none"/>
                      <w:lang w:eastAsia="en-US"/>
                    </w:rPr>
                  </w:pPr>
                  <w:r>
                    <w:rPr>
                      <w:highlight w:val="none"/>
                    </w:rPr>
                    <w:t>0.5</w:t>
                  </w:r>
                </w:p>
              </w:tc>
              <w:tc>
                <w:tcPr>
                  <w:tcW w:w="743" w:type="dxa"/>
                  <w:vAlign w:val="center"/>
                </w:tcPr>
                <w:p>
                  <w:pPr>
                    <w:pStyle w:val="17"/>
                    <w:keepNext w:val="0"/>
                    <w:keepLines w:val="0"/>
                    <w:pageBreakBefore w:val="0"/>
                    <w:kinsoku/>
                    <w:wordWrap/>
                    <w:overflowPunct w:val="0"/>
                    <w:topLinePunct w:val="0"/>
                    <w:bidi w:val="0"/>
                    <w:rPr>
                      <w:highlight w:val="none"/>
                      <w:lang w:eastAsia="en-US"/>
                    </w:rPr>
                  </w:pPr>
                  <w:r>
                    <w:rPr>
                      <w:highlight w:val="none"/>
                    </w:rPr>
                    <w:t>15</w:t>
                  </w:r>
                </w:p>
              </w:tc>
              <w:tc>
                <w:tcPr>
                  <w:tcW w:w="743" w:type="dxa"/>
                  <w:vAlign w:val="center"/>
                </w:tcPr>
                <w:p>
                  <w:pPr>
                    <w:pStyle w:val="17"/>
                    <w:keepNext w:val="0"/>
                    <w:keepLines w:val="0"/>
                    <w:pageBreakBefore w:val="0"/>
                    <w:kinsoku/>
                    <w:wordWrap/>
                    <w:overflowPunct w:val="0"/>
                    <w:topLinePunct w:val="0"/>
                    <w:bidi w:val="0"/>
                    <w:rPr>
                      <w:highlight w:val="none"/>
                    </w:rPr>
                  </w:pPr>
                  <w:r>
                    <w:rPr>
                      <w:rFonts w:hint="eastAsia"/>
                      <w:highlight w:val="non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 w:hRule="atLeast"/>
                <w:jc w:val="center"/>
              </w:trPr>
              <w:tc>
                <w:tcPr>
                  <w:tcW w:w="2274" w:type="dxa"/>
                  <w:vAlign w:val="center"/>
                </w:tcPr>
                <w:p>
                  <w:pPr>
                    <w:pStyle w:val="17"/>
                    <w:keepNext w:val="0"/>
                    <w:keepLines w:val="0"/>
                    <w:pageBreakBefore w:val="0"/>
                    <w:kinsoku/>
                    <w:wordWrap/>
                    <w:overflowPunct w:val="0"/>
                    <w:topLinePunct w:val="0"/>
                    <w:bidi w:val="0"/>
                    <w:rPr>
                      <w:b/>
                      <w:bCs/>
                      <w:highlight w:val="none"/>
                    </w:rPr>
                  </w:pPr>
                  <w:r>
                    <w:rPr>
                      <w:b/>
                      <w:bCs/>
                      <w:highlight w:val="none"/>
                    </w:rPr>
                    <w:t>合肥西部组团污水处理厂尾水排放执行要求</w:t>
                  </w:r>
                </w:p>
              </w:tc>
              <w:tc>
                <w:tcPr>
                  <w:tcW w:w="625" w:type="dxa"/>
                  <w:vAlign w:val="center"/>
                </w:tcPr>
                <w:p>
                  <w:pPr>
                    <w:pStyle w:val="17"/>
                    <w:keepNext w:val="0"/>
                    <w:keepLines w:val="0"/>
                    <w:pageBreakBefore w:val="0"/>
                    <w:kinsoku/>
                    <w:wordWrap/>
                    <w:overflowPunct w:val="0"/>
                    <w:topLinePunct w:val="0"/>
                    <w:bidi w:val="0"/>
                    <w:rPr>
                      <w:b/>
                      <w:bCs/>
                      <w:highlight w:val="none"/>
                    </w:rPr>
                  </w:pPr>
                  <w:r>
                    <w:rPr>
                      <w:b/>
                      <w:bCs/>
                      <w:highlight w:val="none"/>
                    </w:rPr>
                    <w:t>6~9</w:t>
                  </w:r>
                </w:p>
              </w:tc>
              <w:tc>
                <w:tcPr>
                  <w:tcW w:w="750" w:type="dxa"/>
                  <w:vAlign w:val="center"/>
                </w:tcPr>
                <w:p>
                  <w:pPr>
                    <w:pStyle w:val="17"/>
                    <w:keepNext w:val="0"/>
                    <w:keepLines w:val="0"/>
                    <w:pageBreakBefore w:val="0"/>
                    <w:kinsoku/>
                    <w:wordWrap/>
                    <w:overflowPunct w:val="0"/>
                    <w:topLinePunct w:val="0"/>
                    <w:bidi w:val="0"/>
                    <w:rPr>
                      <w:b/>
                      <w:bCs/>
                      <w:highlight w:val="none"/>
                    </w:rPr>
                  </w:pPr>
                  <w:r>
                    <w:rPr>
                      <w:b/>
                      <w:bCs/>
                      <w:highlight w:val="none"/>
                    </w:rPr>
                    <w:t>40</w:t>
                  </w:r>
                </w:p>
              </w:tc>
              <w:tc>
                <w:tcPr>
                  <w:tcW w:w="815" w:type="dxa"/>
                  <w:vAlign w:val="center"/>
                </w:tcPr>
                <w:p>
                  <w:pPr>
                    <w:pStyle w:val="17"/>
                    <w:keepNext w:val="0"/>
                    <w:keepLines w:val="0"/>
                    <w:pageBreakBefore w:val="0"/>
                    <w:kinsoku/>
                    <w:wordWrap/>
                    <w:overflowPunct w:val="0"/>
                    <w:topLinePunct w:val="0"/>
                    <w:bidi w:val="0"/>
                    <w:rPr>
                      <w:b/>
                      <w:bCs/>
                      <w:highlight w:val="none"/>
                    </w:rPr>
                  </w:pPr>
                  <w:r>
                    <w:rPr>
                      <w:b/>
                      <w:bCs/>
                      <w:highlight w:val="none"/>
                    </w:rPr>
                    <w:t>10</w:t>
                  </w:r>
                </w:p>
              </w:tc>
              <w:tc>
                <w:tcPr>
                  <w:tcW w:w="625" w:type="dxa"/>
                  <w:vAlign w:val="center"/>
                </w:tcPr>
                <w:p>
                  <w:pPr>
                    <w:pStyle w:val="17"/>
                    <w:keepNext w:val="0"/>
                    <w:keepLines w:val="0"/>
                    <w:pageBreakBefore w:val="0"/>
                    <w:kinsoku/>
                    <w:wordWrap/>
                    <w:overflowPunct w:val="0"/>
                    <w:topLinePunct w:val="0"/>
                    <w:bidi w:val="0"/>
                    <w:rPr>
                      <w:b/>
                      <w:bCs/>
                      <w:highlight w:val="none"/>
                    </w:rPr>
                  </w:pPr>
                  <w:r>
                    <w:rPr>
                      <w:b/>
                      <w:bCs/>
                      <w:highlight w:val="none"/>
                    </w:rPr>
                    <w:t>10</w:t>
                  </w:r>
                </w:p>
              </w:tc>
              <w:tc>
                <w:tcPr>
                  <w:tcW w:w="939" w:type="dxa"/>
                  <w:vAlign w:val="center"/>
                </w:tcPr>
                <w:p>
                  <w:pPr>
                    <w:pStyle w:val="17"/>
                    <w:keepNext w:val="0"/>
                    <w:keepLines w:val="0"/>
                    <w:pageBreakBefore w:val="0"/>
                    <w:kinsoku/>
                    <w:wordWrap/>
                    <w:overflowPunct w:val="0"/>
                    <w:topLinePunct w:val="0"/>
                    <w:bidi w:val="0"/>
                    <w:rPr>
                      <w:b/>
                      <w:bCs/>
                      <w:highlight w:val="none"/>
                    </w:rPr>
                  </w:pPr>
                  <w:r>
                    <w:rPr>
                      <w:b/>
                      <w:bCs/>
                      <w:highlight w:val="none"/>
                    </w:rPr>
                    <w:t>2.0(3.0)</w:t>
                  </w:r>
                </w:p>
              </w:tc>
              <w:tc>
                <w:tcPr>
                  <w:tcW w:w="620" w:type="dxa"/>
                  <w:vAlign w:val="center"/>
                </w:tcPr>
                <w:p>
                  <w:pPr>
                    <w:pStyle w:val="17"/>
                    <w:keepNext w:val="0"/>
                    <w:keepLines w:val="0"/>
                    <w:pageBreakBefore w:val="0"/>
                    <w:kinsoku/>
                    <w:wordWrap/>
                    <w:overflowPunct w:val="0"/>
                    <w:topLinePunct w:val="0"/>
                    <w:bidi w:val="0"/>
                    <w:rPr>
                      <w:b/>
                      <w:bCs/>
                      <w:highlight w:val="none"/>
                    </w:rPr>
                  </w:pPr>
                  <w:r>
                    <w:rPr>
                      <w:b/>
                      <w:bCs/>
                      <w:highlight w:val="none"/>
                    </w:rPr>
                    <w:t>0.3</w:t>
                  </w:r>
                </w:p>
              </w:tc>
              <w:tc>
                <w:tcPr>
                  <w:tcW w:w="743" w:type="dxa"/>
                  <w:vAlign w:val="center"/>
                </w:tcPr>
                <w:p>
                  <w:pPr>
                    <w:pStyle w:val="17"/>
                    <w:keepNext w:val="0"/>
                    <w:keepLines w:val="0"/>
                    <w:pageBreakBefore w:val="0"/>
                    <w:kinsoku/>
                    <w:wordWrap/>
                    <w:overflowPunct w:val="0"/>
                    <w:topLinePunct w:val="0"/>
                    <w:bidi w:val="0"/>
                    <w:rPr>
                      <w:b/>
                      <w:bCs/>
                      <w:highlight w:val="none"/>
                    </w:rPr>
                  </w:pPr>
                  <w:r>
                    <w:rPr>
                      <w:b/>
                      <w:bCs/>
                      <w:highlight w:val="none"/>
                    </w:rPr>
                    <w:t>10(12)</w:t>
                  </w:r>
                </w:p>
              </w:tc>
              <w:tc>
                <w:tcPr>
                  <w:tcW w:w="743" w:type="dxa"/>
                  <w:vAlign w:val="center"/>
                </w:tcPr>
                <w:p>
                  <w:pPr>
                    <w:pStyle w:val="17"/>
                    <w:keepNext w:val="0"/>
                    <w:keepLines w:val="0"/>
                    <w:pageBreakBefore w:val="0"/>
                    <w:kinsoku/>
                    <w:wordWrap/>
                    <w:overflowPunct w:val="0"/>
                    <w:topLinePunct w:val="0"/>
                    <w:bidi w:val="0"/>
                    <w:rPr>
                      <w:b/>
                      <w:bCs/>
                      <w:highlight w:val="none"/>
                    </w:rPr>
                  </w:pPr>
                  <w:r>
                    <w:rPr>
                      <w:rFonts w:hint="eastAsia"/>
                      <w:b/>
                      <w:bCs/>
                      <w:highlight w:val="none"/>
                    </w:rPr>
                    <w:t>1</w:t>
                  </w:r>
                </w:p>
              </w:tc>
            </w:tr>
          </w:tbl>
          <w:p>
            <w:pPr>
              <w:pStyle w:val="18"/>
              <w:keepNext w:val="0"/>
              <w:keepLines w:val="0"/>
              <w:pageBreakBefore w:val="0"/>
              <w:kinsoku/>
              <w:wordWrap/>
              <w:overflowPunct w:val="0"/>
              <w:topLinePunct w:val="0"/>
              <w:bidi w:val="0"/>
              <w:rPr>
                <w:highlight w:val="none"/>
                <w:lang w:eastAsia="zh-CN"/>
              </w:rPr>
            </w:pPr>
            <w:r>
              <w:rPr>
                <w:highlight w:val="none"/>
                <w:lang w:eastAsia="zh-CN"/>
              </w:rPr>
              <w:t>注：括号外数值为水温&gt;12℃时的控制指标，括号内数值为水温≤12℃时的控制指标。</w:t>
            </w:r>
          </w:p>
          <w:p>
            <w:pPr>
              <w:pStyle w:val="8"/>
              <w:keepNext w:val="0"/>
              <w:keepLines w:val="0"/>
              <w:pageBreakBefore w:val="0"/>
              <w:kinsoku/>
              <w:wordWrap/>
              <w:overflowPunct w:val="0"/>
              <w:topLinePunct w:val="0"/>
              <w:bidi w:val="0"/>
              <w:ind w:firstLine="482"/>
              <w:rPr>
                <w:b/>
                <w:bCs/>
                <w:highlight w:val="none"/>
                <w:lang w:eastAsia="zh-CN"/>
              </w:rPr>
            </w:pPr>
            <w:r>
              <w:rPr>
                <w:b/>
                <w:bCs/>
                <w:highlight w:val="none"/>
                <w:lang w:eastAsia="zh-CN"/>
              </w:rPr>
              <w:t>3</w:t>
            </w:r>
            <w:r>
              <w:rPr>
                <w:rFonts w:hint="eastAsia"/>
                <w:b/>
                <w:bCs/>
                <w:highlight w:val="none"/>
                <w:lang w:eastAsia="zh-CN"/>
              </w:rPr>
              <w:t>、</w:t>
            </w:r>
            <w:r>
              <w:rPr>
                <w:b/>
                <w:bCs/>
                <w:highlight w:val="none"/>
                <w:lang w:eastAsia="zh-CN"/>
              </w:rPr>
              <w:t>厂界噪声排放标准</w:t>
            </w:r>
          </w:p>
          <w:p>
            <w:pPr>
              <w:pStyle w:val="8"/>
              <w:keepNext w:val="0"/>
              <w:keepLines w:val="0"/>
              <w:pageBreakBefore w:val="0"/>
              <w:kinsoku/>
              <w:wordWrap/>
              <w:overflowPunct w:val="0"/>
              <w:topLinePunct w:val="0"/>
              <w:bidi w:val="0"/>
              <w:ind w:firstLine="480"/>
              <w:rPr>
                <w:rFonts w:hint="eastAsia"/>
                <w:highlight w:val="none"/>
                <w:lang w:val="en-US" w:eastAsia="zh-CN"/>
              </w:rPr>
            </w:pPr>
            <w:r>
              <w:rPr>
                <w:rFonts w:hint="eastAsia"/>
                <w:highlight w:val="none"/>
                <w:lang w:val="en-US" w:eastAsia="zh-CN"/>
              </w:rPr>
              <w:t>本项目施工期噪声执行《建筑施工场界环境噪声排放标准》（GB12523-2025）中的规定。</w:t>
            </w:r>
          </w:p>
          <w:p>
            <w:pPr>
              <w:pStyle w:val="18"/>
              <w:keepNext w:val="0"/>
              <w:keepLines w:val="0"/>
              <w:pageBreakBefore w:val="0"/>
              <w:kinsoku/>
              <w:wordWrap/>
              <w:overflowPunct w:val="0"/>
              <w:topLinePunct w:val="0"/>
              <w:bidi w:val="0"/>
              <w:rPr>
                <w:rFonts w:hint="default"/>
                <w:highlight w:val="none"/>
                <w:lang w:val="en-US" w:eastAsia="zh-CN"/>
              </w:rPr>
            </w:pPr>
            <w:r>
              <w:rPr>
                <w:rFonts w:hint="default"/>
                <w:highlight w:val="none"/>
                <w:lang w:val="en-US" w:eastAsia="zh-CN"/>
              </w:rPr>
              <w:t>表3-</w:t>
            </w:r>
            <w:r>
              <w:rPr>
                <w:rFonts w:hint="eastAsia"/>
                <w:highlight w:val="none"/>
                <w:lang w:val="en-US" w:eastAsia="zh-CN"/>
              </w:rPr>
              <w:t>7</w:t>
            </w:r>
            <w:r>
              <w:rPr>
                <w:rFonts w:hint="default"/>
                <w:highlight w:val="none"/>
                <w:lang w:val="en-US" w:eastAsia="zh-CN"/>
              </w:rPr>
              <w:t xml:space="preserve">  </w:t>
            </w:r>
            <w:r>
              <w:rPr>
                <w:rFonts w:hint="eastAsia"/>
                <w:highlight w:val="none"/>
                <w:lang w:val="en-US" w:eastAsia="zh-CN"/>
              </w:rPr>
              <w:t>施工期</w:t>
            </w:r>
            <w:r>
              <w:rPr>
                <w:rFonts w:hint="default"/>
                <w:highlight w:val="none"/>
                <w:lang w:val="en-US" w:eastAsia="zh-CN"/>
              </w:rPr>
              <w:t>期噪声排放标准单位：dB(A)</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6"/>
              <w:gridCol w:w="1992"/>
              <w:gridCol w:w="32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6" w:hRule="atLeast"/>
                <w:jc w:val="center"/>
              </w:trPr>
              <w:tc>
                <w:tcPr>
                  <w:tcW w:w="2606" w:type="dxa"/>
                  <w:vAlign w:val="center"/>
                </w:tcPr>
                <w:p>
                  <w:pPr>
                    <w:pStyle w:val="17"/>
                    <w:keepNext w:val="0"/>
                    <w:keepLines w:val="0"/>
                    <w:pageBreakBefore w:val="0"/>
                    <w:kinsoku/>
                    <w:wordWrap/>
                    <w:overflowPunct w:val="0"/>
                    <w:topLinePunct w:val="0"/>
                    <w:bidi w:val="0"/>
                    <w:rPr>
                      <w:rFonts w:hint="default"/>
                      <w:highlight w:val="none"/>
                      <w:lang w:val="en-US" w:eastAsia="zh-CN"/>
                    </w:rPr>
                  </w:pPr>
                  <w:r>
                    <w:rPr>
                      <w:rFonts w:hint="eastAsia"/>
                      <w:highlight w:val="none"/>
                      <w:lang w:val="en-US" w:eastAsia="zh-CN"/>
                    </w:rPr>
                    <w:t>昼间</w:t>
                  </w:r>
                </w:p>
              </w:tc>
              <w:tc>
                <w:tcPr>
                  <w:tcW w:w="1992" w:type="dxa"/>
                  <w:vAlign w:val="center"/>
                </w:tcPr>
                <w:p>
                  <w:pPr>
                    <w:pStyle w:val="17"/>
                    <w:keepNext w:val="0"/>
                    <w:keepLines w:val="0"/>
                    <w:pageBreakBefore w:val="0"/>
                    <w:kinsoku/>
                    <w:wordWrap/>
                    <w:overflowPunct w:val="0"/>
                    <w:topLinePunct w:val="0"/>
                    <w:bidi w:val="0"/>
                    <w:rPr>
                      <w:rFonts w:hint="default"/>
                      <w:highlight w:val="none"/>
                      <w:lang w:val="en-US" w:eastAsia="zh-CN"/>
                    </w:rPr>
                  </w:pPr>
                  <w:r>
                    <w:rPr>
                      <w:rFonts w:hint="eastAsia"/>
                      <w:highlight w:val="none"/>
                      <w:lang w:val="en-US" w:eastAsia="zh-CN"/>
                    </w:rPr>
                    <w:t>夜间</w:t>
                  </w:r>
                </w:p>
              </w:tc>
              <w:tc>
                <w:tcPr>
                  <w:tcW w:w="3221" w:type="dxa"/>
                  <w:vAlign w:val="center"/>
                </w:tcPr>
                <w:p>
                  <w:pPr>
                    <w:pStyle w:val="17"/>
                    <w:keepNext w:val="0"/>
                    <w:keepLines w:val="0"/>
                    <w:pageBreakBefore w:val="0"/>
                    <w:kinsoku/>
                    <w:wordWrap/>
                    <w:overflowPunct w:val="0"/>
                    <w:topLinePunct w:val="0"/>
                    <w:bidi w:val="0"/>
                    <w:rPr>
                      <w:rFonts w:hint="default"/>
                      <w:highlight w:val="none"/>
                      <w:lang w:val="en-US" w:eastAsia="zh-CN"/>
                    </w:rPr>
                  </w:pPr>
                  <w:r>
                    <w:rPr>
                      <w:rFonts w:hint="eastAsia"/>
                      <w:highlight w:val="none"/>
                      <w:lang w:val="en-US" w:eastAsia="zh-CN"/>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2606" w:type="dxa"/>
                  <w:vAlign w:val="center"/>
                </w:tcPr>
                <w:p>
                  <w:pPr>
                    <w:pStyle w:val="17"/>
                    <w:keepNext w:val="0"/>
                    <w:keepLines w:val="0"/>
                    <w:pageBreakBefore w:val="0"/>
                    <w:kinsoku/>
                    <w:wordWrap/>
                    <w:overflowPunct w:val="0"/>
                    <w:topLinePunct w:val="0"/>
                    <w:bidi w:val="0"/>
                    <w:rPr>
                      <w:rFonts w:hint="default"/>
                      <w:highlight w:val="none"/>
                      <w:lang w:val="en-US" w:eastAsia="zh-CN"/>
                    </w:rPr>
                  </w:pPr>
                  <w:r>
                    <w:rPr>
                      <w:rFonts w:hint="eastAsia"/>
                      <w:highlight w:val="none"/>
                      <w:lang w:val="en-US" w:eastAsia="zh-CN"/>
                    </w:rPr>
                    <w:t>70</w:t>
                  </w:r>
                </w:p>
              </w:tc>
              <w:tc>
                <w:tcPr>
                  <w:tcW w:w="1992" w:type="dxa"/>
                  <w:vAlign w:val="center"/>
                </w:tcPr>
                <w:p>
                  <w:pPr>
                    <w:pStyle w:val="17"/>
                    <w:keepNext w:val="0"/>
                    <w:keepLines w:val="0"/>
                    <w:pageBreakBefore w:val="0"/>
                    <w:kinsoku/>
                    <w:wordWrap/>
                    <w:overflowPunct w:val="0"/>
                    <w:topLinePunct w:val="0"/>
                    <w:bidi w:val="0"/>
                    <w:rPr>
                      <w:rFonts w:hint="default"/>
                      <w:highlight w:val="none"/>
                      <w:lang w:val="en-US" w:eastAsia="zh-CN"/>
                    </w:rPr>
                  </w:pPr>
                  <w:r>
                    <w:rPr>
                      <w:rFonts w:hint="eastAsia"/>
                      <w:highlight w:val="none"/>
                      <w:lang w:val="en-US" w:eastAsia="zh-CN"/>
                    </w:rPr>
                    <w:t>55</w:t>
                  </w:r>
                </w:p>
              </w:tc>
              <w:tc>
                <w:tcPr>
                  <w:tcW w:w="3221" w:type="dxa"/>
                  <w:vAlign w:val="center"/>
                </w:tcPr>
                <w:p>
                  <w:pPr>
                    <w:pStyle w:val="17"/>
                    <w:keepNext w:val="0"/>
                    <w:keepLines w:val="0"/>
                    <w:pageBreakBefore w:val="0"/>
                    <w:kinsoku/>
                    <w:wordWrap/>
                    <w:overflowPunct w:val="0"/>
                    <w:topLinePunct w:val="0"/>
                    <w:bidi w:val="0"/>
                    <w:rPr>
                      <w:rFonts w:hint="eastAsia"/>
                      <w:highlight w:val="none"/>
                      <w:lang w:val="en-US" w:eastAsia="zh-CN"/>
                    </w:rPr>
                  </w:pPr>
                  <w:r>
                    <w:rPr>
                      <w:rFonts w:hint="eastAsia"/>
                      <w:highlight w:val="none"/>
                      <w:lang w:val="en-US" w:eastAsia="zh-CN"/>
                    </w:rPr>
                    <w:t>《建筑施工场界环境噪声排放标准》（GB12523-2025）</w:t>
                  </w:r>
                </w:p>
              </w:tc>
            </w:tr>
          </w:tbl>
          <w:p>
            <w:pPr>
              <w:pStyle w:val="8"/>
              <w:keepNext w:val="0"/>
              <w:keepLines w:val="0"/>
              <w:pageBreakBefore w:val="0"/>
              <w:kinsoku/>
              <w:wordWrap/>
              <w:overflowPunct w:val="0"/>
              <w:topLinePunct w:val="0"/>
              <w:bidi w:val="0"/>
              <w:ind w:firstLine="480"/>
              <w:rPr>
                <w:highlight w:val="none"/>
                <w:lang w:eastAsia="zh-CN"/>
              </w:rPr>
            </w:pPr>
            <w:r>
              <w:rPr>
                <w:highlight w:val="none"/>
                <w:lang w:eastAsia="zh-CN"/>
              </w:rPr>
              <w:t>本项目营运期噪声执行《工业企业厂界环境噪声排放标准》（GB12348-2008）中的3类标准。具体如下：</w:t>
            </w:r>
          </w:p>
          <w:p>
            <w:pPr>
              <w:pStyle w:val="18"/>
              <w:keepNext w:val="0"/>
              <w:keepLines w:val="0"/>
              <w:pageBreakBefore w:val="0"/>
              <w:kinsoku/>
              <w:wordWrap/>
              <w:overflowPunct w:val="0"/>
              <w:topLinePunct w:val="0"/>
              <w:bidi w:val="0"/>
              <w:rPr>
                <w:highlight w:val="none"/>
                <w:lang w:eastAsia="zh-CN"/>
              </w:rPr>
            </w:pPr>
            <w:r>
              <w:rPr>
                <w:highlight w:val="none"/>
                <w:lang w:eastAsia="zh-CN"/>
              </w:rPr>
              <w:t>表3-</w:t>
            </w:r>
            <w:r>
              <w:rPr>
                <w:rFonts w:hint="eastAsia"/>
                <w:highlight w:val="none"/>
                <w:lang w:val="en-US" w:eastAsia="zh-CN"/>
              </w:rPr>
              <w:t>8</w:t>
            </w:r>
            <w:r>
              <w:rPr>
                <w:rFonts w:hint="eastAsia"/>
                <w:highlight w:val="none"/>
                <w:lang w:eastAsia="zh-CN"/>
              </w:rPr>
              <w:t xml:space="preserve"> </w:t>
            </w:r>
            <w:r>
              <w:rPr>
                <w:highlight w:val="none"/>
                <w:lang w:eastAsia="zh-CN"/>
              </w:rPr>
              <w:t xml:space="preserve"> 运营期噪声排放标准单位：dB(A)</w:t>
            </w:r>
          </w:p>
          <w:p>
            <w:pPr>
              <w:keepNext w:val="0"/>
              <w:keepLines w:val="0"/>
              <w:pageBreakBefore w:val="0"/>
              <w:kinsoku/>
              <w:wordWrap/>
              <w:overflowPunct w:val="0"/>
              <w:topLinePunct w:val="0"/>
              <w:bidi w:val="0"/>
              <w:spacing w:line="36" w:lineRule="auto"/>
              <w:rPr>
                <w:rFonts w:ascii="Arial"/>
                <w:sz w:val="2"/>
                <w:highlight w:val="none"/>
                <w:lang w:eastAsia="zh-CN"/>
              </w:rPr>
            </w:pPr>
          </w:p>
          <w:tbl>
            <w:tblPr>
              <w:tblStyle w:val="21"/>
              <w:tblW w:w="7968" w:type="dxa"/>
              <w:tblInd w:w="10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164"/>
              <w:gridCol w:w="1968"/>
              <w:gridCol w:w="1846"/>
              <w:gridCol w:w="299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02" w:hRule="atLeast"/>
              </w:trPr>
              <w:tc>
                <w:tcPr>
                  <w:tcW w:w="1164" w:type="dxa"/>
                  <w:vAlign w:val="center"/>
                </w:tcPr>
                <w:p>
                  <w:pPr>
                    <w:pStyle w:val="17"/>
                    <w:keepNext w:val="0"/>
                    <w:keepLines w:val="0"/>
                    <w:pageBreakBefore w:val="0"/>
                    <w:kinsoku/>
                    <w:wordWrap/>
                    <w:overflowPunct w:val="0"/>
                    <w:topLinePunct w:val="0"/>
                    <w:bidi w:val="0"/>
                    <w:rPr>
                      <w:highlight w:val="none"/>
                    </w:rPr>
                  </w:pPr>
                  <w:r>
                    <w:rPr>
                      <w:highlight w:val="none"/>
                    </w:rPr>
                    <w:t>功能区类别</w:t>
                  </w:r>
                </w:p>
              </w:tc>
              <w:tc>
                <w:tcPr>
                  <w:tcW w:w="1968" w:type="dxa"/>
                  <w:vAlign w:val="center"/>
                </w:tcPr>
                <w:p>
                  <w:pPr>
                    <w:pStyle w:val="17"/>
                    <w:keepNext w:val="0"/>
                    <w:keepLines w:val="0"/>
                    <w:pageBreakBefore w:val="0"/>
                    <w:kinsoku/>
                    <w:wordWrap/>
                    <w:overflowPunct w:val="0"/>
                    <w:topLinePunct w:val="0"/>
                    <w:bidi w:val="0"/>
                    <w:rPr>
                      <w:highlight w:val="none"/>
                    </w:rPr>
                  </w:pPr>
                  <w:r>
                    <w:rPr>
                      <w:highlight w:val="none"/>
                    </w:rPr>
                    <w:t>昼间（6:00～22:00）</w:t>
                  </w:r>
                </w:p>
              </w:tc>
              <w:tc>
                <w:tcPr>
                  <w:tcW w:w="1846" w:type="dxa"/>
                  <w:vAlign w:val="center"/>
                </w:tcPr>
                <w:p>
                  <w:pPr>
                    <w:pStyle w:val="17"/>
                    <w:keepNext w:val="0"/>
                    <w:keepLines w:val="0"/>
                    <w:pageBreakBefore w:val="0"/>
                    <w:kinsoku/>
                    <w:wordWrap/>
                    <w:overflowPunct w:val="0"/>
                    <w:topLinePunct w:val="0"/>
                    <w:bidi w:val="0"/>
                    <w:rPr>
                      <w:highlight w:val="none"/>
                    </w:rPr>
                  </w:pPr>
                  <w:r>
                    <w:rPr>
                      <w:highlight w:val="none"/>
                    </w:rPr>
                    <w:t>夜间（22:00～6:00）</w:t>
                  </w:r>
                </w:p>
              </w:tc>
              <w:tc>
                <w:tcPr>
                  <w:tcW w:w="2990" w:type="dxa"/>
                  <w:vAlign w:val="center"/>
                </w:tcPr>
                <w:p>
                  <w:pPr>
                    <w:pStyle w:val="17"/>
                    <w:keepNext w:val="0"/>
                    <w:keepLines w:val="0"/>
                    <w:pageBreakBefore w:val="0"/>
                    <w:kinsoku/>
                    <w:wordWrap/>
                    <w:overflowPunct w:val="0"/>
                    <w:topLinePunct w:val="0"/>
                    <w:bidi w:val="0"/>
                    <w:rPr>
                      <w:highlight w:val="none"/>
                    </w:rPr>
                  </w:pPr>
                  <w:r>
                    <w:rPr>
                      <w:highlight w:val="none"/>
                    </w:rPr>
                    <w:t>标准来源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1164" w:type="dxa"/>
                  <w:vAlign w:val="center"/>
                </w:tcPr>
                <w:p>
                  <w:pPr>
                    <w:pStyle w:val="17"/>
                    <w:keepNext w:val="0"/>
                    <w:keepLines w:val="0"/>
                    <w:pageBreakBefore w:val="0"/>
                    <w:kinsoku/>
                    <w:wordWrap/>
                    <w:overflowPunct w:val="0"/>
                    <w:topLinePunct w:val="0"/>
                    <w:bidi w:val="0"/>
                    <w:rPr>
                      <w:highlight w:val="none"/>
                    </w:rPr>
                  </w:pPr>
                  <w:r>
                    <w:rPr>
                      <w:highlight w:val="none"/>
                    </w:rPr>
                    <w:t>3类</w:t>
                  </w:r>
                </w:p>
              </w:tc>
              <w:tc>
                <w:tcPr>
                  <w:tcW w:w="1968" w:type="dxa"/>
                  <w:vAlign w:val="center"/>
                </w:tcPr>
                <w:p>
                  <w:pPr>
                    <w:pStyle w:val="17"/>
                    <w:keepNext w:val="0"/>
                    <w:keepLines w:val="0"/>
                    <w:pageBreakBefore w:val="0"/>
                    <w:kinsoku/>
                    <w:wordWrap/>
                    <w:overflowPunct w:val="0"/>
                    <w:topLinePunct w:val="0"/>
                    <w:bidi w:val="0"/>
                    <w:rPr>
                      <w:highlight w:val="none"/>
                    </w:rPr>
                  </w:pPr>
                  <w:r>
                    <w:rPr>
                      <w:highlight w:val="none"/>
                    </w:rPr>
                    <w:t>≤65</w:t>
                  </w:r>
                </w:p>
              </w:tc>
              <w:tc>
                <w:tcPr>
                  <w:tcW w:w="1846" w:type="dxa"/>
                  <w:vAlign w:val="center"/>
                </w:tcPr>
                <w:p>
                  <w:pPr>
                    <w:pStyle w:val="17"/>
                    <w:keepNext w:val="0"/>
                    <w:keepLines w:val="0"/>
                    <w:pageBreakBefore w:val="0"/>
                    <w:kinsoku/>
                    <w:wordWrap/>
                    <w:overflowPunct w:val="0"/>
                    <w:topLinePunct w:val="0"/>
                    <w:bidi w:val="0"/>
                    <w:rPr>
                      <w:highlight w:val="none"/>
                    </w:rPr>
                  </w:pPr>
                  <w:r>
                    <w:rPr>
                      <w:highlight w:val="none"/>
                    </w:rPr>
                    <w:t>≤55</w:t>
                  </w:r>
                </w:p>
              </w:tc>
              <w:tc>
                <w:tcPr>
                  <w:tcW w:w="2990" w:type="dxa"/>
                  <w:vAlign w:val="center"/>
                </w:tcPr>
                <w:p>
                  <w:pPr>
                    <w:pStyle w:val="17"/>
                    <w:keepNext w:val="0"/>
                    <w:keepLines w:val="0"/>
                    <w:pageBreakBefore w:val="0"/>
                    <w:kinsoku/>
                    <w:wordWrap/>
                    <w:overflowPunct w:val="0"/>
                    <w:topLinePunct w:val="0"/>
                    <w:bidi w:val="0"/>
                    <w:rPr>
                      <w:highlight w:val="none"/>
                    </w:rPr>
                  </w:pPr>
                  <w:r>
                    <w:rPr>
                      <w:highlight w:val="none"/>
                    </w:rPr>
                    <w:t>《工业企业厂界环境噪声排放标</w:t>
                  </w:r>
                </w:p>
                <w:p>
                  <w:pPr>
                    <w:pStyle w:val="17"/>
                    <w:keepNext w:val="0"/>
                    <w:keepLines w:val="0"/>
                    <w:pageBreakBefore w:val="0"/>
                    <w:kinsoku/>
                    <w:wordWrap/>
                    <w:overflowPunct w:val="0"/>
                    <w:topLinePunct w:val="0"/>
                    <w:bidi w:val="0"/>
                    <w:rPr>
                      <w:highlight w:val="none"/>
                    </w:rPr>
                  </w:pPr>
                  <w:r>
                    <w:rPr>
                      <w:highlight w:val="none"/>
                    </w:rPr>
                    <w:t>准》（GB12348-2008）</w:t>
                  </w:r>
                </w:p>
              </w:tc>
            </w:tr>
          </w:tbl>
          <w:p>
            <w:pPr>
              <w:pStyle w:val="8"/>
              <w:keepNext w:val="0"/>
              <w:keepLines w:val="0"/>
              <w:pageBreakBefore w:val="0"/>
              <w:kinsoku/>
              <w:wordWrap/>
              <w:overflowPunct w:val="0"/>
              <w:topLinePunct w:val="0"/>
              <w:bidi w:val="0"/>
              <w:ind w:firstLine="482"/>
              <w:rPr>
                <w:b/>
                <w:bCs/>
                <w:highlight w:val="none"/>
                <w:lang w:eastAsia="zh-CN"/>
              </w:rPr>
            </w:pPr>
            <w:r>
              <w:rPr>
                <w:b/>
                <w:bCs/>
                <w:highlight w:val="none"/>
                <w:lang w:eastAsia="zh-CN"/>
              </w:rPr>
              <w:t>4</w:t>
            </w:r>
            <w:r>
              <w:rPr>
                <w:rFonts w:hint="eastAsia"/>
                <w:b/>
                <w:bCs/>
                <w:highlight w:val="none"/>
                <w:lang w:eastAsia="zh-CN"/>
              </w:rPr>
              <w:t>、</w:t>
            </w:r>
            <w:r>
              <w:rPr>
                <w:b/>
                <w:bCs/>
                <w:highlight w:val="none"/>
                <w:lang w:eastAsia="zh-CN"/>
              </w:rPr>
              <w:t>固废控制标准</w:t>
            </w:r>
          </w:p>
          <w:p>
            <w:pPr>
              <w:pStyle w:val="8"/>
              <w:keepNext w:val="0"/>
              <w:keepLines w:val="0"/>
              <w:pageBreakBefore w:val="0"/>
              <w:kinsoku/>
              <w:wordWrap/>
              <w:overflowPunct w:val="0"/>
              <w:topLinePunct w:val="0"/>
              <w:bidi w:val="0"/>
              <w:ind w:firstLine="480"/>
              <w:rPr>
                <w:highlight w:val="none"/>
                <w:lang w:eastAsia="zh-CN"/>
              </w:rPr>
            </w:pPr>
            <w:r>
              <w:rPr>
                <w:highlight w:val="none"/>
                <w:lang w:eastAsia="zh-CN"/>
              </w:rPr>
              <w:t>一般工业固体废物贮存参照执行《一般工业固体废物贮存和填埋污染控制标准》（GB18599-2020）中提出的防渗漏、防雨淋、防扬尘等环境保护要求，同时满足《中华人民共和国固体废物污染环境防治法》中相关规定。危险废物执行《危险废物贮存污染控制标准》（GB18597-2023）和《危险废物识别标志设置技术规范》（HJ1276-2022）相关要求。</w:t>
            </w:r>
          </w:p>
          <w:p>
            <w:pPr>
              <w:pStyle w:val="8"/>
              <w:keepNext w:val="0"/>
              <w:keepLines w:val="0"/>
              <w:pageBreakBefore w:val="0"/>
              <w:kinsoku/>
              <w:wordWrap/>
              <w:overflowPunct w:val="0"/>
              <w:topLinePunct w:val="0"/>
              <w:bidi w:val="0"/>
              <w:ind w:firstLine="480"/>
              <w:rPr>
                <w:highlight w:val="none"/>
                <w:lang w:eastAsia="zh-CN"/>
              </w:rPr>
            </w:pP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578" w:hRule="atLeast"/>
        </w:trPr>
        <w:tc>
          <w:tcPr>
            <w:tcW w:w="831" w:type="dxa"/>
            <w:tcBorders>
              <w:right w:val="single" w:color="000000" w:sz="2" w:space="0"/>
            </w:tcBorders>
            <w:vAlign w:val="center"/>
          </w:tcPr>
          <w:p>
            <w:pPr>
              <w:keepNext w:val="0"/>
              <w:keepLines w:val="0"/>
              <w:pageBreakBefore w:val="0"/>
              <w:kinsoku/>
              <w:wordWrap/>
              <w:overflowPunct w:val="0"/>
              <w:topLinePunct w:val="0"/>
              <w:bidi w:val="0"/>
              <w:jc w:val="center"/>
              <w:rPr>
                <w:highlight w:val="none"/>
              </w:rPr>
            </w:pPr>
            <w:r>
              <w:rPr>
                <w:rFonts w:hint="eastAsia"/>
                <w:highlight w:val="none"/>
              </w:rPr>
              <w:t>总量控制指标</w:t>
            </w:r>
          </w:p>
        </w:tc>
        <w:tc>
          <w:tcPr>
            <w:tcW w:w="8157" w:type="dxa"/>
            <w:tcBorders>
              <w:left w:val="single" w:color="000000" w:sz="2" w:space="0"/>
            </w:tcBorders>
          </w:tcPr>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根据安徽省人民政府《安徽省大气污染防治行动计划实施方案》（皖政〔2013〕89号）中第（四）类19条和《关于进一步加强建设项目新增大气污染物总量控制指标工作的通知》（皖环发〔2017〕19号）中的规定，严格实施主要污染物排放总量控制，水污染物总量控制指标为COD、氨氮，大气污染物总量指标在二氧化硫（SO</w:t>
            </w:r>
            <w:r>
              <w:rPr>
                <w:rFonts w:hint="eastAsia"/>
                <w:highlight w:val="none"/>
                <w:vertAlign w:val="subscript"/>
                <w:lang w:eastAsia="zh-CN"/>
              </w:rPr>
              <w:t>2</w:t>
            </w:r>
            <w:r>
              <w:rPr>
                <w:rFonts w:hint="eastAsia"/>
                <w:highlight w:val="none"/>
                <w:lang w:eastAsia="zh-CN"/>
              </w:rPr>
              <w:t>）、氮氧化物（NOx）的基础上增加烟（粉）尘、挥发性有机物（VOCs）两项指标。</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rPr>
              <w:t>1、水</w:t>
            </w:r>
            <w:r>
              <w:rPr>
                <w:rFonts w:hint="eastAsia"/>
                <w:color w:val="auto"/>
                <w:highlight w:val="none"/>
              </w:rPr>
              <w:t>污染物总量控制指标：根据工程分析可知COD接管排放量为0.</w:t>
            </w:r>
            <w:r>
              <w:rPr>
                <w:rFonts w:hint="eastAsia"/>
                <w:color w:val="auto"/>
                <w:highlight w:val="none"/>
                <w:lang w:eastAsia="zh-CN"/>
              </w:rPr>
              <w:t>0736</w:t>
            </w:r>
            <w:r>
              <w:rPr>
                <w:rFonts w:hint="eastAsia"/>
                <w:color w:val="auto"/>
                <w:highlight w:val="none"/>
              </w:rPr>
              <w:t>t/a ，氨氮接管排放量为0.0</w:t>
            </w:r>
            <w:r>
              <w:rPr>
                <w:rFonts w:hint="eastAsia"/>
                <w:color w:val="auto"/>
                <w:highlight w:val="none"/>
                <w:lang w:eastAsia="zh-CN"/>
              </w:rPr>
              <w:t>059</w:t>
            </w:r>
            <w:r>
              <w:rPr>
                <w:rFonts w:hint="eastAsia"/>
                <w:color w:val="auto"/>
                <w:highlight w:val="none"/>
              </w:rPr>
              <w:t>t/a；COD外环境排放量为0.0</w:t>
            </w:r>
            <w:r>
              <w:rPr>
                <w:rFonts w:hint="eastAsia"/>
                <w:color w:val="auto"/>
                <w:highlight w:val="none"/>
                <w:lang w:eastAsia="zh-CN"/>
              </w:rPr>
              <w:t>118</w:t>
            </w:r>
            <w:r>
              <w:rPr>
                <w:rFonts w:hint="eastAsia"/>
                <w:color w:val="auto"/>
                <w:highlight w:val="none"/>
              </w:rPr>
              <w:t>t/a，氨氮外环境排放量为0.00</w:t>
            </w:r>
            <w:r>
              <w:rPr>
                <w:rFonts w:hint="eastAsia"/>
                <w:color w:val="auto"/>
                <w:highlight w:val="none"/>
                <w:lang w:eastAsia="zh-CN"/>
              </w:rPr>
              <w:t>06</w:t>
            </w:r>
            <w:r>
              <w:rPr>
                <w:rFonts w:hint="eastAsia"/>
                <w:color w:val="auto"/>
                <w:highlight w:val="none"/>
              </w:rPr>
              <w:t>t/a。</w:t>
            </w:r>
            <w:r>
              <w:rPr>
                <w:rFonts w:hint="eastAsia"/>
                <w:color w:val="auto"/>
                <w:highlight w:val="none"/>
                <w:lang w:eastAsia="zh-CN"/>
              </w:rPr>
              <w:t>项目水污染物最终外排量纳入合肥西部</w:t>
            </w:r>
            <w:r>
              <w:rPr>
                <w:rFonts w:hint="eastAsia"/>
                <w:highlight w:val="none"/>
                <w:lang w:eastAsia="zh-CN"/>
              </w:rPr>
              <w:t>组团污水处理厂总量指标中，本项目不单独申请COD、氨氮指标。</w:t>
            </w:r>
          </w:p>
          <w:p>
            <w:pPr>
              <w:pStyle w:val="8"/>
              <w:keepNext w:val="0"/>
              <w:keepLines w:val="0"/>
              <w:pageBreakBefore w:val="0"/>
              <w:kinsoku/>
              <w:wordWrap/>
              <w:overflowPunct w:val="0"/>
              <w:topLinePunct w:val="0"/>
              <w:bidi w:val="0"/>
              <w:ind w:firstLine="480"/>
              <w:rPr>
                <w:highlight w:val="none"/>
                <w:lang w:eastAsia="zh-CN"/>
              </w:rPr>
            </w:pPr>
            <w:r>
              <w:rPr>
                <w:rFonts w:hint="eastAsia"/>
                <w:highlight w:val="none"/>
                <w:lang w:eastAsia="zh-CN"/>
              </w:rPr>
              <w:t>2、本项目无大气污染物总量控制指标，无需申请总量</w:t>
            </w:r>
          </w:p>
        </w:tc>
      </w:tr>
    </w:tbl>
    <w:p>
      <w:pPr>
        <w:rPr>
          <w:lang w:eastAsia="zh-CN"/>
        </w:rPr>
      </w:pPr>
    </w:p>
    <w:p>
      <w:pPr>
        <w:rPr>
          <w:lang w:eastAsia="zh-CN"/>
        </w:rPr>
        <w:sectPr>
          <w:pgSz w:w="11906" w:h="16838"/>
          <w:pgMar w:top="1701" w:right="1531" w:bottom="1701" w:left="1531" w:header="851" w:footer="992" w:gutter="0"/>
          <w:cols w:space="425" w:num="1"/>
          <w:docGrid w:type="lines" w:linePitch="312" w:charSpace="0"/>
        </w:sectPr>
      </w:pPr>
    </w:p>
    <w:p>
      <w:pPr>
        <w:jc w:val="center"/>
        <w:outlineLvl w:val="0"/>
        <w:rPr>
          <w:b/>
          <w:bCs/>
          <w:sz w:val="30"/>
          <w:szCs w:val="30"/>
          <w:lang w:eastAsia="zh-CN"/>
        </w:rPr>
      </w:pPr>
      <w:r>
        <w:rPr>
          <w:rFonts w:ascii="宋体" w:hAnsi="宋体"/>
          <w:b/>
          <w:bCs/>
          <w:spacing w:val="-6"/>
          <w:sz w:val="30"/>
          <w:szCs w:val="30"/>
          <w:lang w:eastAsia="zh-CN"/>
        </w:rPr>
        <w:t>四、主要环境影响和保护措施</w:t>
      </w:r>
    </w:p>
    <w:tbl>
      <w:tblPr>
        <w:tblStyle w:val="21"/>
        <w:tblW w:w="8988" w:type="dxa"/>
        <w:tblInd w:w="7" w:type="dxa"/>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fixed"/>
        <w:tblCellMar>
          <w:top w:w="0" w:type="dxa"/>
          <w:left w:w="0" w:type="dxa"/>
          <w:bottom w:w="0" w:type="dxa"/>
          <w:right w:w="0" w:type="dxa"/>
        </w:tblCellMar>
      </w:tblPr>
      <w:tblGrid>
        <w:gridCol w:w="669"/>
        <w:gridCol w:w="8319"/>
      </w:tblGrid>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578" w:hRule="atLeast"/>
        </w:trPr>
        <w:tc>
          <w:tcPr>
            <w:tcW w:w="669" w:type="dxa"/>
            <w:tcBorders>
              <w:right w:val="single" w:color="000000" w:sz="2" w:space="0"/>
            </w:tcBorders>
            <w:vAlign w:val="center"/>
          </w:tcPr>
          <w:p>
            <w:pPr>
              <w:keepNext w:val="0"/>
              <w:keepLines w:val="0"/>
              <w:pageBreakBefore w:val="0"/>
              <w:kinsoku/>
              <w:wordWrap/>
              <w:overflowPunct w:val="0"/>
              <w:topLinePunct w:val="0"/>
              <w:autoSpaceDE w:val="0"/>
              <w:autoSpaceDN w:val="0"/>
              <w:bidi w:val="0"/>
              <w:adjustRightInd w:val="0"/>
              <w:snapToGrid w:val="0"/>
              <w:jc w:val="center"/>
              <w:rPr>
                <w:highlight w:val="none"/>
              </w:rPr>
            </w:pPr>
            <w:r>
              <w:rPr>
                <w:rFonts w:hint="eastAsia"/>
                <w:highlight w:val="none"/>
              </w:rPr>
              <w:t>施工期环境保护措施</w:t>
            </w:r>
          </w:p>
        </w:tc>
        <w:tc>
          <w:tcPr>
            <w:tcW w:w="8319" w:type="dxa"/>
            <w:tcBorders>
              <w:left w:val="single" w:color="000000" w:sz="2" w:space="0"/>
            </w:tcBorders>
            <w:vAlign w:val="center"/>
          </w:tcPr>
          <w:p>
            <w:pPr>
              <w:pStyle w:val="8"/>
              <w:keepNext w:val="0"/>
              <w:keepLines w:val="0"/>
              <w:pageBreakBefore w:val="0"/>
              <w:kinsoku/>
              <w:wordWrap/>
              <w:overflowPunct w:val="0"/>
              <w:topLinePunct w:val="0"/>
              <w:autoSpaceDE w:val="0"/>
              <w:autoSpaceDN w:val="0"/>
              <w:bidi w:val="0"/>
              <w:adjustRightInd w:val="0"/>
              <w:snapToGrid w:val="0"/>
              <w:ind w:firstLine="480"/>
              <w:rPr>
                <w:highlight w:val="none"/>
              </w:rPr>
            </w:pPr>
            <w:r>
              <w:rPr>
                <w:rFonts w:hint="eastAsia"/>
                <w:highlight w:val="none"/>
                <w:lang w:eastAsia="zh-CN"/>
              </w:rPr>
              <w:t>项目施工阶段主要是设备安装，大部分安装工作在生产车间内进行，本项目不涉及土建施工活动。施工人员日常生活均依托于厂区内现有已建辅助设施。</w:t>
            </w:r>
            <w:r>
              <w:rPr>
                <w:rFonts w:hint="eastAsia"/>
                <w:highlight w:val="none"/>
              </w:rPr>
              <w:t>施工期环境影响较小。</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578" w:hRule="atLeast"/>
        </w:trPr>
        <w:tc>
          <w:tcPr>
            <w:tcW w:w="669" w:type="dxa"/>
            <w:tcBorders>
              <w:right w:val="single" w:color="000000" w:sz="2" w:space="0"/>
            </w:tcBorders>
            <w:vAlign w:val="center"/>
          </w:tcPr>
          <w:p>
            <w:pPr>
              <w:keepNext w:val="0"/>
              <w:keepLines w:val="0"/>
              <w:pageBreakBefore w:val="0"/>
              <w:kinsoku/>
              <w:wordWrap/>
              <w:overflowPunct w:val="0"/>
              <w:topLinePunct w:val="0"/>
              <w:autoSpaceDE w:val="0"/>
              <w:autoSpaceDN w:val="0"/>
              <w:bidi w:val="0"/>
              <w:adjustRightInd w:val="0"/>
              <w:snapToGrid w:val="0"/>
              <w:jc w:val="center"/>
              <w:rPr>
                <w:highlight w:val="none"/>
                <w:lang w:eastAsia="zh-CN"/>
              </w:rPr>
            </w:pPr>
            <w:r>
              <w:rPr>
                <w:rFonts w:hint="eastAsia"/>
                <w:highlight w:val="none"/>
                <w:lang w:eastAsia="zh-CN"/>
              </w:rPr>
              <w:t>运营期环境影响和保护措施</w:t>
            </w:r>
          </w:p>
        </w:tc>
        <w:tc>
          <w:tcPr>
            <w:tcW w:w="8319" w:type="dxa"/>
            <w:tcBorders>
              <w:left w:val="single" w:color="000000" w:sz="2" w:space="0"/>
            </w:tcBorders>
          </w:tcPr>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一、废气</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1、废气源强</w:t>
            </w:r>
            <w:r>
              <w:rPr>
                <w:rFonts w:hint="eastAsia"/>
                <w:b/>
                <w:bCs/>
                <w:highlight w:val="none"/>
                <w:lang w:eastAsia="zh-CN"/>
              </w:rPr>
              <w:t>和产排情况</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（1）焊接烟尘</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汽车零部件激光焊接技术，是以激光束为能源，光束瞬间照射到被焊物体焊缝处，使焊缝金属在较短时间内迅速融熔，从而实现焊接的过程，焊接过程会有少量的被焊金属融熔烟尘产生，以颗粒物计，由其系统内部自带抽排风系统并经</w:t>
            </w:r>
          </w:p>
          <w:p>
            <w:pPr>
              <w:pStyle w:val="8"/>
              <w:keepNext w:val="0"/>
              <w:keepLines w:val="0"/>
              <w:pageBreakBefore w:val="0"/>
              <w:kinsoku/>
              <w:wordWrap/>
              <w:overflowPunct w:val="0"/>
              <w:topLinePunct w:val="0"/>
              <w:autoSpaceDE w:val="0"/>
              <w:autoSpaceDN w:val="0"/>
              <w:bidi w:val="0"/>
              <w:adjustRightInd w:val="0"/>
              <w:snapToGrid w:val="0"/>
              <w:ind w:firstLine="0" w:firstLineChars="0"/>
              <w:rPr>
                <w:highlight w:val="none"/>
                <w:lang w:eastAsia="zh-CN"/>
              </w:rPr>
            </w:pPr>
            <w:r>
              <w:rPr>
                <w:rFonts w:hint="eastAsia"/>
                <w:highlight w:val="none"/>
                <w:lang w:eastAsia="zh-CN"/>
              </w:rPr>
              <w:t>滤纸过滤，除尘效率为9</w:t>
            </w:r>
            <w:r>
              <w:rPr>
                <w:rFonts w:hint="eastAsia"/>
                <w:highlight w:val="none"/>
                <w:lang w:val="en-US" w:eastAsia="zh-CN"/>
              </w:rPr>
              <w:t>5</w:t>
            </w:r>
            <w:r>
              <w:rPr>
                <w:rFonts w:hint="eastAsia"/>
                <w:highlight w:val="none"/>
                <w:lang w:eastAsia="zh-CN"/>
              </w:rPr>
              <w:t>%。本项目不使用焊料，产生的焊接烟尘较少，参考现有项目焊接工艺，本项目焊接烟尘的产生量约为3kg/a，焊接废气的产排放情况见下表。</w:t>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rFonts w:hint="eastAsia"/>
                <w:highlight w:val="none"/>
                <w:lang w:eastAsia="zh-CN"/>
              </w:rPr>
              <w:t>表4-1 焊接烟尘产排放情况一览表</w:t>
            </w:r>
          </w:p>
          <w:tbl>
            <w:tblPr>
              <w:tblStyle w:val="14"/>
              <w:tblW w:w="81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
              <w:gridCol w:w="961"/>
              <w:gridCol w:w="1203"/>
              <w:gridCol w:w="1165"/>
              <w:gridCol w:w="879"/>
              <w:gridCol w:w="1022"/>
              <w:gridCol w:w="1191"/>
              <w:gridCol w:w="8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90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污染物</w:t>
                  </w:r>
                </w:p>
              </w:tc>
              <w:tc>
                <w:tcPr>
                  <w:tcW w:w="96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产生量（kg/a）</w:t>
                  </w:r>
                </w:p>
              </w:tc>
              <w:tc>
                <w:tcPr>
                  <w:tcW w:w="12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排放速率（kg/h）</w:t>
                  </w:r>
                </w:p>
              </w:tc>
              <w:tc>
                <w:tcPr>
                  <w:tcW w:w="116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处理措施</w:t>
                  </w:r>
                </w:p>
              </w:tc>
              <w:tc>
                <w:tcPr>
                  <w:tcW w:w="879"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处理效率</w:t>
                  </w:r>
                </w:p>
              </w:tc>
              <w:tc>
                <w:tcPr>
                  <w:tcW w:w="10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排放量（kg/a）</w:t>
                  </w:r>
                </w:p>
              </w:tc>
              <w:tc>
                <w:tcPr>
                  <w:tcW w:w="119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排放速率（kg/h）</w:t>
                  </w:r>
                </w:p>
              </w:tc>
              <w:tc>
                <w:tcPr>
                  <w:tcW w:w="85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排放形式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0" w:hRule="atLeast"/>
                <w:jc w:val="center"/>
              </w:trPr>
              <w:tc>
                <w:tcPr>
                  <w:tcW w:w="90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颗粒物</w:t>
                  </w:r>
                </w:p>
              </w:tc>
              <w:tc>
                <w:tcPr>
                  <w:tcW w:w="96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3</w:t>
                  </w:r>
                </w:p>
              </w:tc>
              <w:tc>
                <w:tcPr>
                  <w:tcW w:w="12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0.00125</w:t>
                  </w:r>
                </w:p>
              </w:tc>
              <w:tc>
                <w:tcPr>
                  <w:tcW w:w="116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自带抽排风系统并经滤纸过滤</w:t>
                  </w:r>
                </w:p>
              </w:tc>
              <w:tc>
                <w:tcPr>
                  <w:tcW w:w="879"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9</w:t>
                  </w:r>
                  <w:r>
                    <w:rPr>
                      <w:rFonts w:hint="eastAsia"/>
                      <w:highlight w:val="none"/>
                      <w:lang w:val="en-US" w:eastAsia="zh-CN"/>
                    </w:rPr>
                    <w:t>5</w:t>
                  </w:r>
                  <w:r>
                    <w:rPr>
                      <w:rFonts w:hint="eastAsia"/>
                      <w:highlight w:val="none"/>
                    </w:rPr>
                    <w:t>%</w:t>
                  </w:r>
                </w:p>
              </w:tc>
              <w:tc>
                <w:tcPr>
                  <w:tcW w:w="1022" w:type="dxa"/>
                  <w:vAlign w:val="center"/>
                </w:tcPr>
                <w:p>
                  <w:pPr>
                    <w:pStyle w:val="17"/>
                    <w:keepNext w:val="0"/>
                    <w:keepLines w:val="0"/>
                    <w:pageBreakBefore w:val="0"/>
                    <w:kinsoku/>
                    <w:wordWrap/>
                    <w:overflowPunct w:val="0"/>
                    <w:topLinePunct w:val="0"/>
                    <w:autoSpaceDE w:val="0"/>
                    <w:autoSpaceDN w:val="0"/>
                    <w:bidi w:val="0"/>
                    <w:adjustRightInd w:val="0"/>
                    <w:snapToGrid w:val="0"/>
                    <w:rPr>
                      <w:rFonts w:hint="default" w:eastAsia="宋体"/>
                      <w:highlight w:val="none"/>
                      <w:lang w:val="en-US" w:eastAsia="zh-CN"/>
                    </w:rPr>
                  </w:pPr>
                  <w:r>
                    <w:rPr>
                      <w:rFonts w:hint="eastAsia"/>
                      <w:highlight w:val="none"/>
                    </w:rPr>
                    <w:t>0.</w:t>
                  </w:r>
                  <w:r>
                    <w:rPr>
                      <w:rFonts w:hint="eastAsia"/>
                      <w:highlight w:val="none"/>
                      <w:lang w:val="en-US" w:eastAsia="zh-CN"/>
                    </w:rPr>
                    <w:t>15</w:t>
                  </w:r>
                </w:p>
              </w:tc>
              <w:tc>
                <w:tcPr>
                  <w:tcW w:w="1191" w:type="dxa"/>
                  <w:vAlign w:val="center"/>
                </w:tcPr>
                <w:p>
                  <w:pPr>
                    <w:pStyle w:val="17"/>
                    <w:keepNext w:val="0"/>
                    <w:keepLines w:val="0"/>
                    <w:pageBreakBefore w:val="0"/>
                    <w:kinsoku/>
                    <w:wordWrap/>
                    <w:overflowPunct w:val="0"/>
                    <w:topLinePunct w:val="0"/>
                    <w:autoSpaceDE w:val="0"/>
                    <w:autoSpaceDN w:val="0"/>
                    <w:bidi w:val="0"/>
                    <w:adjustRightInd w:val="0"/>
                    <w:snapToGrid w:val="0"/>
                    <w:rPr>
                      <w:rFonts w:hint="default" w:eastAsia="宋体"/>
                      <w:highlight w:val="none"/>
                      <w:lang w:val="en-US" w:eastAsia="zh-CN"/>
                    </w:rPr>
                  </w:pPr>
                  <w:r>
                    <w:rPr>
                      <w:rFonts w:hint="eastAsia"/>
                      <w:highlight w:val="none"/>
                    </w:rPr>
                    <w:t>0.0000</w:t>
                  </w:r>
                  <w:r>
                    <w:rPr>
                      <w:rFonts w:hint="eastAsia"/>
                      <w:highlight w:val="none"/>
                      <w:lang w:val="en-US" w:eastAsia="zh-CN"/>
                    </w:rPr>
                    <w:t>625</w:t>
                  </w:r>
                </w:p>
              </w:tc>
              <w:tc>
                <w:tcPr>
                  <w:tcW w:w="85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无组织</w:t>
                  </w:r>
                </w:p>
              </w:tc>
            </w:tr>
          </w:tbl>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焊接烟尘经自带净化除尘系统处理后无组织排放</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（2）食堂油烟</w:t>
            </w:r>
          </w:p>
          <w:p>
            <w:pPr>
              <w:pStyle w:val="8"/>
              <w:keepNext w:val="0"/>
              <w:keepLines w:val="0"/>
              <w:pageBreakBefore w:val="0"/>
              <w:kinsoku/>
              <w:wordWrap/>
              <w:overflowPunct w:val="0"/>
              <w:topLinePunct w:val="0"/>
              <w:autoSpaceDE w:val="0"/>
              <w:autoSpaceDN w:val="0"/>
              <w:bidi w:val="0"/>
              <w:adjustRightInd w:val="0"/>
              <w:snapToGrid w:val="0"/>
              <w:ind w:firstLine="480"/>
              <w:rPr>
                <w:color w:val="FF0000"/>
                <w:highlight w:val="none"/>
                <w:lang w:eastAsia="zh-CN"/>
              </w:rPr>
            </w:pPr>
            <w:r>
              <w:rPr>
                <w:rFonts w:hint="eastAsia"/>
                <w:color w:val="auto"/>
                <w:highlight w:val="none"/>
                <w:lang w:eastAsia="zh-CN"/>
              </w:rPr>
              <w:t>本项目提供员工工作餐，食物烹饪、加工过程中会产生一定量的油烟。项目</w:t>
            </w:r>
            <w:r>
              <w:rPr>
                <w:rFonts w:hint="eastAsia"/>
                <w:color w:val="auto"/>
                <w:highlight w:val="none"/>
                <w:lang w:val="en-US" w:eastAsia="zh-CN"/>
              </w:rPr>
              <w:t>原有员工386人，新增</w:t>
            </w:r>
            <w:r>
              <w:rPr>
                <w:rFonts w:hint="eastAsia"/>
                <w:color w:val="auto"/>
                <w:highlight w:val="none"/>
                <w:lang w:eastAsia="zh-CN"/>
              </w:rPr>
              <w:t>就餐员工</w:t>
            </w:r>
            <w:r>
              <w:rPr>
                <w:rFonts w:hint="eastAsia"/>
                <w:color w:val="auto"/>
                <w:highlight w:val="none"/>
                <w:lang w:val="en-US" w:eastAsia="zh-CN"/>
              </w:rPr>
              <w:t>15</w:t>
            </w:r>
            <w:r>
              <w:rPr>
                <w:rFonts w:hint="eastAsia"/>
                <w:color w:val="auto"/>
                <w:highlight w:val="none"/>
                <w:lang w:eastAsia="zh-CN"/>
              </w:rPr>
              <w:t>人，每日提供早、中、晚餐，人均耗食用油量按30g/天计，每日按高峰5h计，油烟的产生量占油耗量的3%计，则食堂油烟的产生量为</w:t>
            </w:r>
            <w:r>
              <w:rPr>
                <w:rFonts w:hint="eastAsia"/>
                <w:color w:val="auto"/>
                <w:highlight w:val="none"/>
                <w:lang w:val="en-US" w:eastAsia="zh-CN"/>
              </w:rPr>
              <w:t>0.108t</w:t>
            </w:r>
            <w:r>
              <w:rPr>
                <w:rFonts w:hint="eastAsia"/>
                <w:color w:val="auto"/>
                <w:highlight w:val="none"/>
                <w:lang w:eastAsia="zh-CN"/>
              </w:rPr>
              <w:t>/a。食堂设有5个标准灶头，食堂油烟净化器的处理效率为75%，</w:t>
            </w:r>
            <w:r>
              <w:rPr>
                <w:rFonts w:hint="eastAsia"/>
                <w:highlight w:val="none"/>
              </w:rPr>
              <w:t>排风能力约为10000m</w:t>
            </w:r>
            <w:r>
              <w:rPr>
                <w:rFonts w:hint="eastAsia"/>
                <w:highlight w:val="none"/>
                <w:vertAlign w:val="superscript"/>
              </w:rPr>
              <w:t>3</w:t>
            </w:r>
            <w:r>
              <w:rPr>
                <w:rFonts w:hint="eastAsia"/>
                <w:highlight w:val="none"/>
              </w:rPr>
              <w:t>/h。本项目食堂油烟的产生浓度为</w:t>
            </w:r>
            <w:r>
              <w:rPr>
                <w:rFonts w:hint="eastAsia"/>
                <w:highlight w:val="none"/>
                <w:lang w:val="en-US" w:eastAsia="zh-CN"/>
              </w:rPr>
              <w:t>7.218</w:t>
            </w:r>
            <w:r>
              <w:rPr>
                <w:rFonts w:hint="eastAsia"/>
                <w:highlight w:val="none"/>
              </w:rPr>
              <w:t>mg/m</w:t>
            </w:r>
            <w:r>
              <w:rPr>
                <w:rFonts w:hint="eastAsia"/>
                <w:highlight w:val="none"/>
                <w:vertAlign w:val="superscript"/>
              </w:rPr>
              <w:t>3</w:t>
            </w:r>
            <w:r>
              <w:rPr>
                <w:rFonts w:hint="eastAsia"/>
                <w:highlight w:val="none"/>
              </w:rPr>
              <w:t>，经处理后的油烟排放量为0.02</w:t>
            </w:r>
            <w:r>
              <w:rPr>
                <w:rFonts w:hint="eastAsia"/>
                <w:highlight w:val="none"/>
                <w:lang w:val="en-US" w:eastAsia="zh-CN"/>
              </w:rPr>
              <w:t>7</w:t>
            </w:r>
            <w:r>
              <w:rPr>
                <w:rFonts w:hint="eastAsia"/>
                <w:highlight w:val="none"/>
              </w:rPr>
              <w:t>t/a，排放浓度为</w:t>
            </w:r>
            <w:r>
              <w:rPr>
                <w:rFonts w:hint="eastAsia"/>
                <w:highlight w:val="none"/>
                <w:lang w:val="en-US" w:eastAsia="zh-CN"/>
              </w:rPr>
              <w:t>1.805</w:t>
            </w:r>
            <w:r>
              <w:rPr>
                <w:rFonts w:hint="eastAsia"/>
                <w:highlight w:val="none"/>
              </w:rPr>
              <w:t>mg/m</w:t>
            </w:r>
            <w:r>
              <w:rPr>
                <w:rFonts w:hint="eastAsia"/>
                <w:highlight w:val="none"/>
                <w:vertAlign w:val="superscript"/>
              </w:rPr>
              <w:t>3</w:t>
            </w:r>
            <w:r>
              <w:rPr>
                <w:rFonts w:hint="eastAsia"/>
                <w:color w:val="auto"/>
                <w:highlight w:val="none"/>
                <w:lang w:eastAsia="zh-CN"/>
              </w:rPr>
              <w:t>，满足</w:t>
            </w:r>
            <w:r>
              <w:rPr>
                <w:rFonts w:hint="eastAsia"/>
                <w:highlight w:val="none"/>
                <w:lang w:eastAsia="zh-CN"/>
              </w:rPr>
              <w:t>《饮食业油烟排放排放标准》（GB18483-2001）</w:t>
            </w:r>
            <w:r>
              <w:rPr>
                <w:rFonts w:hint="eastAsia"/>
                <w:color w:val="auto"/>
                <w:highlight w:val="none"/>
                <w:lang w:eastAsia="zh-CN"/>
              </w:rPr>
              <w:t>排放限值要求。</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2、废气污染治理设施可行性分析</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（1）焊接烟尘净化器</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焊烟净化器是一种工业环保设备，用来收集净化产生的焊接烟尘，起到保护环境，保护工人身体健康的目的。通常用在锡焊、手弧焊等焊接场所，是款专门针对治理焊接、切割、打磨时，产生在空气中大量悬浮对人体有害的细小金属颗粒而设计的净化装置，净化效率高。在额定处理风量下，烟尘去除率&gt;99%，处理后排出的洁净空气可以直接在车间内循环排放。</w:t>
            </w:r>
          </w:p>
          <w:p>
            <w:pPr>
              <w:pStyle w:val="8"/>
              <w:keepNext w:val="0"/>
              <w:keepLines w:val="0"/>
              <w:pageBreakBefore w:val="0"/>
              <w:kinsoku/>
              <w:wordWrap/>
              <w:overflowPunct w:val="0"/>
              <w:topLinePunct w:val="0"/>
              <w:autoSpaceDE w:val="0"/>
              <w:autoSpaceDN w:val="0"/>
              <w:bidi w:val="0"/>
              <w:adjustRightInd w:val="0"/>
              <w:snapToGrid w:val="0"/>
              <w:ind w:firstLine="480"/>
              <w:rPr>
                <w:color w:val="000000" w:themeColor="text1"/>
                <w:highlight w:val="none"/>
                <w:lang w:eastAsia="zh-CN"/>
                <w14:textFill>
                  <w14:solidFill>
                    <w14:schemeClr w14:val="tx1"/>
                  </w14:solidFill>
                </w14:textFill>
              </w:rPr>
            </w:pPr>
            <w:r>
              <w:rPr>
                <w:rFonts w:hint="eastAsia"/>
                <w:color w:val="000000" w:themeColor="text1"/>
                <w:highlight w:val="none"/>
                <w:lang w:eastAsia="zh-CN"/>
                <w14:textFill>
                  <w14:solidFill>
                    <w14:schemeClr w14:val="tx1"/>
                  </w14:solidFill>
                </w14:textFill>
              </w:rPr>
              <w:t>参照《排污许可证申请与核发技术规范汽车制造业》（HJ971-2018）“表17”，“过滤除尘”为焊接产生的颗粒物的推荐可行技术，故本项目焊接烟尘采取焊接烟尘净化器处理可行。</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（2）食堂油烟</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食堂设有5个标准灶头，食堂油烟净化器的处理效率为75%，本项目油烟排放可以满足《饮食业油烟排放标准》（GB18483-2001）中型规模标准。</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3、非正常工况</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若废气治理装置故障或失效，焊接烟尘未经净化处理直接排入大气，将对周围大气环境贡献值增大。环评要求当废气处理系统出现故障时立即停止生产。</w:t>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highlight w:val="none"/>
                <w:lang w:eastAsia="zh-CN"/>
              </w:rPr>
              <w:t>表4-</w:t>
            </w:r>
            <w:r>
              <w:rPr>
                <w:rFonts w:hint="eastAsia"/>
                <w:highlight w:val="none"/>
                <w:lang w:eastAsia="zh-CN"/>
              </w:rPr>
              <w:t>2</w:t>
            </w:r>
            <w:r>
              <w:rPr>
                <w:highlight w:val="none"/>
                <w:lang w:eastAsia="zh-CN"/>
              </w:rPr>
              <w:t xml:space="preserve">  废气非正常排放一览表</w:t>
            </w:r>
          </w:p>
          <w:tbl>
            <w:tblPr>
              <w:tblStyle w:val="14"/>
              <w:tblW w:w="80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4"/>
              <w:gridCol w:w="1434"/>
              <w:gridCol w:w="922"/>
              <w:gridCol w:w="954"/>
              <w:gridCol w:w="902"/>
              <w:gridCol w:w="930"/>
              <w:gridCol w:w="1004"/>
              <w:gridCol w:w="10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8" w:hRule="atLeast"/>
                <w:jc w:val="center"/>
              </w:trPr>
              <w:tc>
                <w:tcPr>
                  <w:tcW w:w="874"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来源</w:t>
                  </w:r>
                </w:p>
              </w:tc>
              <w:tc>
                <w:tcPr>
                  <w:tcW w:w="1434"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非正常原因</w:t>
                  </w:r>
                </w:p>
              </w:tc>
              <w:tc>
                <w:tcPr>
                  <w:tcW w:w="922"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污染物</w:t>
                  </w:r>
                </w:p>
              </w:tc>
              <w:tc>
                <w:tcPr>
                  <w:tcW w:w="954"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去除效率（%）</w:t>
                  </w:r>
                </w:p>
              </w:tc>
              <w:tc>
                <w:tcPr>
                  <w:tcW w:w="902"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年发生频次</w:t>
                  </w:r>
                </w:p>
              </w:tc>
              <w:tc>
                <w:tcPr>
                  <w:tcW w:w="930"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单次持续时间（h）</w:t>
                  </w:r>
                </w:p>
              </w:tc>
              <w:tc>
                <w:tcPr>
                  <w:tcW w:w="1004"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排放量（</w:t>
                  </w:r>
                  <w:r>
                    <w:rPr>
                      <w:rFonts w:hint="eastAsia"/>
                      <w:highlight w:val="none"/>
                    </w:rPr>
                    <w:t>kg/a</w:t>
                  </w:r>
                  <w:r>
                    <w:rPr>
                      <w:highlight w:val="none"/>
                    </w:rPr>
                    <w:t>）</w:t>
                  </w:r>
                </w:p>
              </w:tc>
              <w:tc>
                <w:tcPr>
                  <w:tcW w:w="1076"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排放速率（kg/h）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874"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焊接烟尘</w:t>
                  </w:r>
                </w:p>
              </w:tc>
              <w:tc>
                <w:tcPr>
                  <w:tcW w:w="1434"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处理设施达不到应有效果</w:t>
                  </w:r>
                </w:p>
              </w:tc>
              <w:tc>
                <w:tcPr>
                  <w:tcW w:w="922"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颗粒物</w:t>
                  </w:r>
                </w:p>
              </w:tc>
              <w:tc>
                <w:tcPr>
                  <w:tcW w:w="954"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50</w:t>
                  </w:r>
                </w:p>
              </w:tc>
              <w:tc>
                <w:tcPr>
                  <w:tcW w:w="902"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w:t>
                  </w:r>
                </w:p>
              </w:tc>
              <w:tc>
                <w:tcPr>
                  <w:tcW w:w="930"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w:t>
                  </w:r>
                </w:p>
              </w:tc>
              <w:tc>
                <w:tcPr>
                  <w:tcW w:w="1004"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0.000625</w:t>
                  </w:r>
                </w:p>
              </w:tc>
              <w:tc>
                <w:tcPr>
                  <w:tcW w:w="1076" w:type="dxa"/>
                  <w:tcBorders>
                    <w:tl2br w:val="nil"/>
                    <w:tr2bl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0.000625</w:t>
                  </w:r>
                </w:p>
              </w:tc>
            </w:tr>
          </w:tbl>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4、废气监测计划</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根据《排污单位自行监测技术指南 总则》（HJ 819-2017），本项目</w:t>
            </w:r>
            <w:r>
              <w:rPr>
                <w:highlight w:val="none"/>
                <w:lang w:eastAsia="zh-CN"/>
              </w:rPr>
              <w:t>废气排放监测点位、监测指标及监测频率如下。</w:t>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highlight w:val="none"/>
                <w:lang w:eastAsia="zh-CN"/>
              </w:rPr>
              <w:t>表 4-</w:t>
            </w:r>
            <w:r>
              <w:rPr>
                <w:rFonts w:hint="eastAsia"/>
                <w:highlight w:val="none"/>
                <w:lang w:eastAsia="zh-CN"/>
              </w:rPr>
              <w:t>3</w:t>
            </w:r>
            <w:r>
              <w:rPr>
                <w:highlight w:val="none"/>
                <w:lang w:eastAsia="zh-CN"/>
              </w:rPr>
              <w:t xml:space="preserve">  废气排放监测点位、监测指标及监测频率</w:t>
            </w:r>
          </w:p>
          <w:tbl>
            <w:tblPr>
              <w:tblStyle w:val="21"/>
              <w:tblW w:w="8306" w:type="dxa"/>
              <w:tblInd w:w="10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7"/>
              <w:gridCol w:w="1120"/>
              <w:gridCol w:w="1691"/>
              <w:gridCol w:w="1254"/>
              <w:gridCol w:w="356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1" w:hRule="atLeast"/>
              </w:trPr>
              <w:tc>
                <w:tcPr>
                  <w:tcW w:w="677" w:type="dxa"/>
                  <w:tcBorders>
                    <w:top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序号</w:t>
                  </w:r>
                </w:p>
              </w:tc>
              <w:tc>
                <w:tcPr>
                  <w:tcW w:w="1120" w:type="dxa"/>
                  <w:tcBorders>
                    <w:top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监测点位</w:t>
                  </w:r>
                </w:p>
              </w:tc>
              <w:tc>
                <w:tcPr>
                  <w:tcW w:w="1691" w:type="dxa"/>
                  <w:tcBorders>
                    <w:top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监测指标</w:t>
                  </w:r>
                </w:p>
              </w:tc>
              <w:tc>
                <w:tcPr>
                  <w:tcW w:w="1254" w:type="dxa"/>
                  <w:tcBorders>
                    <w:top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监测频率</w:t>
                  </w:r>
                </w:p>
              </w:tc>
              <w:tc>
                <w:tcPr>
                  <w:tcW w:w="3564" w:type="dxa"/>
                  <w:tcBorders>
                    <w:top w:val="single" w:color="000000" w:sz="6" w:space="0"/>
                    <w:right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执行排放标准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7" w:hRule="atLeast"/>
              </w:trPr>
              <w:tc>
                <w:tcPr>
                  <w:tcW w:w="67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w:t>
                  </w:r>
                </w:p>
              </w:tc>
              <w:tc>
                <w:tcPr>
                  <w:tcW w:w="112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厂界</w:t>
                  </w:r>
                </w:p>
              </w:tc>
              <w:tc>
                <w:tcPr>
                  <w:tcW w:w="169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颗粒物</w:t>
                  </w:r>
                </w:p>
              </w:tc>
              <w:tc>
                <w:tcPr>
                  <w:tcW w:w="125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1次/年</w:t>
                  </w:r>
                </w:p>
              </w:tc>
              <w:tc>
                <w:tcPr>
                  <w:tcW w:w="3564" w:type="dxa"/>
                  <w:tcBorders>
                    <w:right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《大气污染物综合排放标准》</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r>
                    <w:rPr>
                      <w:rFonts w:hint="eastAsia"/>
                      <w:highlight w:val="none"/>
                    </w:rPr>
                    <w:t>GB 16297-1996</w:t>
                  </w:r>
                  <w:r>
                    <w:rPr>
                      <w:highlight w:val="none"/>
                    </w:rPr>
                    <w:t>）</w:t>
                  </w:r>
                </w:p>
              </w:tc>
            </w:tr>
          </w:tbl>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5、大气环境影响分析结论</w:t>
            </w:r>
          </w:p>
          <w:p>
            <w:pPr>
              <w:pStyle w:val="8"/>
              <w:keepNext w:val="0"/>
              <w:keepLines w:val="0"/>
              <w:pageBreakBefore w:val="0"/>
              <w:kinsoku/>
              <w:wordWrap/>
              <w:overflowPunct w:val="0"/>
              <w:topLinePunct w:val="0"/>
              <w:autoSpaceDE w:val="0"/>
              <w:autoSpaceDN w:val="0"/>
              <w:bidi w:val="0"/>
              <w:adjustRightInd w:val="0"/>
              <w:snapToGrid w:val="0"/>
              <w:ind w:firstLine="480"/>
              <w:rPr>
                <w:color w:val="000000" w:themeColor="text1"/>
                <w:highlight w:val="none"/>
                <w:lang w:eastAsia="zh-CN"/>
                <w14:textFill>
                  <w14:solidFill>
                    <w14:schemeClr w14:val="tx1"/>
                  </w14:solidFill>
                </w14:textFill>
              </w:rPr>
            </w:pPr>
            <w:r>
              <w:rPr>
                <w:rFonts w:hint="eastAsia"/>
                <w:color w:val="000000" w:themeColor="text1"/>
                <w:highlight w:val="none"/>
                <w:lang w:eastAsia="zh-CN"/>
                <w14:textFill>
                  <w14:solidFill>
                    <w14:schemeClr w14:val="tx1"/>
                  </w14:solidFill>
                </w14:textFill>
              </w:rPr>
              <w:t>建设项目位于合肥高新区柏堰科技园宁西路108号马瑞利动力系统（合肥）有限公司厂区内，项目区域废气经各项污染治理措施处理后：食堂油烟经油烟净化系统处理后达标排放，满足</w:t>
            </w:r>
            <w:r>
              <w:rPr>
                <w:highlight w:val="none"/>
                <w:lang w:eastAsia="zh-CN"/>
              </w:rPr>
              <w:t>《饮食业油烟排放标准》（GB18483-2001）</w:t>
            </w:r>
            <w:r>
              <w:rPr>
                <w:rFonts w:hint="eastAsia"/>
                <w:color w:val="000000" w:themeColor="text1"/>
                <w:highlight w:val="none"/>
                <w:lang w:eastAsia="zh-CN"/>
                <w14:textFill>
                  <w14:solidFill>
                    <w14:schemeClr w14:val="tx1"/>
                  </w14:solidFill>
                </w14:textFill>
              </w:rPr>
              <w:t>中的相关标准要求；焊接烟尘经自带净化除尘系统处理后达标排放，满足《大气污染物综合排放标准》（GB 16297-1996）的相关标准要求。建设项目各废气污染物达标排放，对周围大气环境影响较小。</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二、废水</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1、废水产排情况</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废水主要为生活污水、餐饮废水和未可预见废水。根据水平衡分析，餐饮废水经过油水分离器预处理后和生活污水、未可预见废水进入化粪池处理，处理后的废水接入政污水管网送入合肥西部组团污水处理厂，尾水排入派河截导污工程，最终进入巢湖。根据工程分析，废水共</w:t>
            </w:r>
            <w:r>
              <w:rPr>
                <w:rFonts w:hint="eastAsia"/>
                <w:highlight w:val="none"/>
                <w:lang w:val="en-US" w:eastAsia="zh-CN"/>
              </w:rPr>
              <w:t>626.1</w:t>
            </w:r>
            <w:r>
              <w:rPr>
                <w:rFonts w:hint="eastAsia"/>
                <w:highlight w:val="none"/>
                <w:lang w:eastAsia="zh-CN"/>
              </w:rPr>
              <w:t>t/a。</w:t>
            </w:r>
          </w:p>
          <w:p>
            <w:pPr>
              <w:pStyle w:val="18"/>
              <w:keepNext w:val="0"/>
              <w:keepLines w:val="0"/>
              <w:pageBreakBefore w:val="0"/>
              <w:kinsoku/>
              <w:wordWrap/>
              <w:overflowPunct w:val="0"/>
              <w:topLinePunct w:val="0"/>
              <w:autoSpaceDE w:val="0"/>
              <w:autoSpaceDN w:val="0"/>
              <w:bidi w:val="0"/>
              <w:adjustRightInd w:val="0"/>
              <w:snapToGrid w:val="0"/>
              <w:rPr>
                <w:color w:val="auto"/>
                <w:highlight w:val="none"/>
                <w:lang w:eastAsia="zh-CN"/>
              </w:rPr>
            </w:pPr>
            <w:r>
              <w:rPr>
                <w:color w:val="auto"/>
                <w:highlight w:val="none"/>
                <w:lang w:eastAsia="zh-CN"/>
              </w:rPr>
              <w:t>表4-</w:t>
            </w:r>
            <w:r>
              <w:rPr>
                <w:rFonts w:hint="eastAsia"/>
                <w:color w:val="auto"/>
                <w:highlight w:val="none"/>
                <w:lang w:eastAsia="zh-CN"/>
              </w:rPr>
              <w:t>4</w:t>
            </w:r>
            <w:r>
              <w:rPr>
                <w:color w:val="auto"/>
                <w:highlight w:val="none"/>
                <w:lang w:eastAsia="zh-CN"/>
              </w:rPr>
              <w:t xml:space="preserve">  项目废水产排情况一览表</w:t>
            </w:r>
          </w:p>
          <w:tbl>
            <w:tblPr>
              <w:tblStyle w:val="21"/>
              <w:tblW w:w="8058"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62"/>
              <w:gridCol w:w="949"/>
              <w:gridCol w:w="585"/>
              <w:gridCol w:w="822"/>
              <w:gridCol w:w="822"/>
              <w:gridCol w:w="822"/>
              <w:gridCol w:w="822"/>
              <w:gridCol w:w="822"/>
              <w:gridCol w:w="822"/>
              <w:gridCol w:w="83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7" w:hRule="atLeast"/>
                <w:jc w:val="center"/>
              </w:trPr>
              <w:tc>
                <w:tcPr>
                  <w:tcW w:w="762"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废水种类</w:t>
                  </w:r>
                </w:p>
              </w:tc>
              <w:tc>
                <w:tcPr>
                  <w:tcW w:w="949"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类别</w:t>
                  </w:r>
                </w:p>
              </w:tc>
              <w:tc>
                <w:tcPr>
                  <w:tcW w:w="6347" w:type="dxa"/>
                  <w:gridSpan w:val="8"/>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污染物</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762"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49"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58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pH</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COD</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BOD</w:t>
                  </w:r>
                  <w:r>
                    <w:rPr>
                      <w:highlight w:val="none"/>
                      <w:vertAlign w:val="subscript"/>
                    </w:rPr>
                    <w:t>5</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SS</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NH</w:t>
                  </w:r>
                  <w:r>
                    <w:rPr>
                      <w:highlight w:val="none"/>
                      <w:vertAlign w:val="subscript"/>
                    </w:rPr>
                    <w:t>3</w:t>
                  </w:r>
                  <w:r>
                    <w:rPr>
                      <w:highlight w:val="none"/>
                    </w:rPr>
                    <w:t>-N</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TP</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TN</w:t>
                  </w:r>
                </w:p>
              </w:tc>
              <w:tc>
                <w:tcPr>
                  <w:tcW w:w="8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动植物油</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76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生活污水</w:t>
                  </w:r>
                  <w:r>
                    <w:rPr>
                      <w:rFonts w:hint="eastAsia"/>
                      <w:highlight w:val="none"/>
                    </w:rPr>
                    <w:t>、餐饮废水、未可预见废水</w:t>
                  </w:r>
                  <w:r>
                    <w:rPr>
                      <w:rFonts w:hint="eastAsia"/>
                      <w:highlight w:val="none"/>
                      <w:lang w:val="en-US" w:eastAsia="zh-CN"/>
                    </w:rPr>
                    <w:t>626.1</w:t>
                  </w:r>
                  <w:r>
                    <w:rPr>
                      <w:rFonts w:hint="eastAsia"/>
                      <w:highlight w:val="none"/>
                    </w:rPr>
                    <w:t>t/a</w:t>
                  </w:r>
                </w:p>
              </w:tc>
              <w:tc>
                <w:tcPr>
                  <w:tcW w:w="949"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产生浓度（mg/L）</w:t>
                  </w:r>
                </w:p>
              </w:tc>
              <w:tc>
                <w:tcPr>
                  <w:tcW w:w="58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6～9</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250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150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150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20</w:t>
                  </w:r>
                </w:p>
              </w:tc>
              <w:tc>
                <w:tcPr>
                  <w:tcW w:w="8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76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49"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产生量</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（t/a）</w:t>
                  </w:r>
                </w:p>
              </w:tc>
              <w:tc>
                <w:tcPr>
                  <w:tcW w:w="58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default"/>
                      <w:highlight w:val="none"/>
                      <w:lang w:val="en-US" w:eastAsia="zh-CN"/>
                    </w:rPr>
                    <w:t>0.1565</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default"/>
                      <w:highlight w:val="none"/>
                      <w:lang w:val="en-US" w:eastAsia="zh-CN"/>
                    </w:rPr>
                    <w:t>0.0939</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default"/>
                      <w:highlight w:val="none"/>
                      <w:lang w:val="en-US" w:eastAsia="zh-CN"/>
                    </w:rPr>
                    <w:t>0.0939</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default"/>
                      <w:highlight w:val="none"/>
                      <w:lang w:val="en-US" w:eastAsia="zh-CN"/>
                    </w:rPr>
                    <w:t>0.0125</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default"/>
                      <w:highlight w:val="none"/>
                      <w:lang w:val="en-US" w:eastAsia="zh-CN"/>
                    </w:rPr>
                    <w:t>0.0013</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default"/>
                      <w:highlight w:val="none"/>
                      <w:lang w:val="en-US" w:eastAsia="zh-CN"/>
                    </w:rPr>
                    <w:t>0.0125</w:t>
                  </w:r>
                </w:p>
              </w:tc>
              <w:tc>
                <w:tcPr>
                  <w:tcW w:w="8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default"/>
                      <w:highlight w:val="none"/>
                      <w:lang w:val="en-US" w:eastAsia="zh-CN"/>
                    </w:rPr>
                    <w:t>0.0188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76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49"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排放浓度（mg/L）</w:t>
                  </w:r>
                </w:p>
              </w:tc>
              <w:tc>
                <w:tcPr>
                  <w:tcW w:w="58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6～9</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250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150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150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20</w:t>
                  </w:r>
                </w:p>
              </w:tc>
              <w:tc>
                <w:tcPr>
                  <w:tcW w:w="8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30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76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49"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排放量</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（t/a）</w:t>
                  </w:r>
                </w:p>
              </w:tc>
              <w:tc>
                <w:tcPr>
                  <w:tcW w:w="58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ind w:firstLine="0" w:firstLineChars="0"/>
                    <w:rPr>
                      <w:highlight w:val="none"/>
                    </w:rPr>
                  </w:pPr>
                  <w:r>
                    <w:rPr>
                      <w:rFonts w:hint="default"/>
                      <w:highlight w:val="none"/>
                      <w:lang w:val="en-US" w:eastAsia="zh-CN"/>
                    </w:rPr>
                    <w:t>0.1565</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ind w:firstLine="0" w:firstLineChars="0"/>
                    <w:rPr>
                      <w:highlight w:val="none"/>
                    </w:rPr>
                  </w:pPr>
                  <w:r>
                    <w:rPr>
                      <w:rFonts w:hint="default"/>
                      <w:highlight w:val="none"/>
                      <w:lang w:val="en-US" w:eastAsia="zh-CN"/>
                    </w:rPr>
                    <w:t>0.0939</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ind w:firstLine="0" w:firstLineChars="0"/>
                    <w:rPr>
                      <w:highlight w:val="none"/>
                    </w:rPr>
                  </w:pPr>
                  <w:r>
                    <w:rPr>
                      <w:rFonts w:hint="default"/>
                      <w:highlight w:val="none"/>
                      <w:lang w:val="en-US" w:eastAsia="zh-CN"/>
                    </w:rPr>
                    <w:t>0.0939</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ind w:firstLine="0" w:firstLineChars="0"/>
                    <w:rPr>
                      <w:highlight w:val="none"/>
                    </w:rPr>
                  </w:pPr>
                  <w:r>
                    <w:rPr>
                      <w:rFonts w:hint="default"/>
                      <w:highlight w:val="none"/>
                      <w:lang w:val="en-US" w:eastAsia="zh-CN"/>
                    </w:rPr>
                    <w:t>0.0125</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ind w:firstLine="0" w:firstLineChars="0"/>
                    <w:rPr>
                      <w:highlight w:val="none"/>
                    </w:rPr>
                  </w:pPr>
                  <w:r>
                    <w:rPr>
                      <w:rFonts w:hint="default"/>
                      <w:highlight w:val="none"/>
                      <w:lang w:val="en-US" w:eastAsia="zh-CN"/>
                    </w:rPr>
                    <w:t>0.0013</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ind w:firstLine="0" w:firstLineChars="0"/>
                    <w:rPr>
                      <w:highlight w:val="none"/>
                    </w:rPr>
                  </w:pPr>
                  <w:r>
                    <w:rPr>
                      <w:rFonts w:hint="default"/>
                      <w:highlight w:val="none"/>
                      <w:lang w:val="en-US" w:eastAsia="zh-CN"/>
                    </w:rPr>
                    <w:t>0.0125</w:t>
                  </w:r>
                </w:p>
              </w:tc>
              <w:tc>
                <w:tcPr>
                  <w:tcW w:w="830" w:type="dxa"/>
                  <w:vAlign w:val="center"/>
                </w:tcPr>
                <w:p>
                  <w:pPr>
                    <w:pStyle w:val="17"/>
                    <w:keepNext w:val="0"/>
                    <w:keepLines w:val="0"/>
                    <w:pageBreakBefore w:val="0"/>
                    <w:kinsoku/>
                    <w:wordWrap/>
                    <w:overflowPunct w:val="0"/>
                    <w:topLinePunct w:val="0"/>
                    <w:autoSpaceDE w:val="0"/>
                    <w:autoSpaceDN w:val="0"/>
                    <w:bidi w:val="0"/>
                    <w:adjustRightInd w:val="0"/>
                    <w:snapToGrid w:val="0"/>
                    <w:ind w:firstLine="0" w:firstLineChars="0"/>
                    <w:rPr>
                      <w:highlight w:val="none"/>
                    </w:rPr>
                  </w:pPr>
                  <w:r>
                    <w:rPr>
                      <w:rFonts w:hint="default"/>
                      <w:highlight w:val="none"/>
                      <w:lang w:val="en-US" w:eastAsia="zh-CN"/>
                    </w:rPr>
                    <w:t>0.0188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1711"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rPr>
                      <w:b/>
                      <w:bCs/>
                      <w:highlight w:val="none"/>
                    </w:rPr>
                  </w:pPr>
                  <w:r>
                    <w:rPr>
                      <w:b/>
                      <w:bCs/>
                      <w:highlight w:val="none"/>
                    </w:rPr>
                    <w:t>本项目</w:t>
                  </w:r>
                  <w:r>
                    <w:rPr>
                      <w:rFonts w:hint="eastAsia"/>
                      <w:b/>
                      <w:bCs/>
                      <w:highlight w:val="none"/>
                    </w:rPr>
                    <w:t>生活污水</w:t>
                  </w:r>
                  <w:r>
                    <w:rPr>
                      <w:b/>
                      <w:bCs/>
                      <w:highlight w:val="none"/>
                    </w:rPr>
                    <w:t>执标准</w:t>
                  </w:r>
                </w:p>
              </w:tc>
              <w:tc>
                <w:tcPr>
                  <w:tcW w:w="585" w:type="dxa"/>
                  <w:vAlign w:val="center"/>
                </w:tcPr>
                <w:p>
                  <w:pPr>
                    <w:pStyle w:val="17"/>
                    <w:keepNext w:val="0"/>
                    <w:keepLines w:val="0"/>
                    <w:pageBreakBefore w:val="0"/>
                    <w:kinsoku/>
                    <w:wordWrap/>
                    <w:overflowPunct w:val="0"/>
                    <w:topLinePunct w:val="0"/>
                    <w:autoSpaceDE w:val="0"/>
                    <w:autoSpaceDN w:val="0"/>
                    <w:bidi w:val="0"/>
                    <w:adjustRightInd w:val="0"/>
                    <w:snapToGrid w:val="0"/>
                    <w:rPr>
                      <w:b/>
                      <w:bCs/>
                      <w:highlight w:val="none"/>
                    </w:rPr>
                  </w:pPr>
                  <w:r>
                    <w:rPr>
                      <w:b/>
                      <w:bCs/>
                      <w:highlight w:val="none"/>
                    </w:rPr>
                    <w:t>6~9</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b/>
                      <w:bCs/>
                      <w:highlight w:val="none"/>
                    </w:rPr>
                  </w:pPr>
                  <w:r>
                    <w:rPr>
                      <w:b/>
                      <w:bCs/>
                      <w:highlight w:val="none"/>
                    </w:rPr>
                    <w:t>350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b/>
                      <w:bCs/>
                      <w:highlight w:val="none"/>
                    </w:rPr>
                  </w:pPr>
                  <w:r>
                    <w:rPr>
                      <w:b/>
                      <w:bCs/>
                      <w:highlight w:val="none"/>
                    </w:rPr>
                    <w:t>180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b/>
                      <w:bCs/>
                      <w:highlight w:val="none"/>
                    </w:rPr>
                  </w:pPr>
                  <w:r>
                    <w:rPr>
                      <w:b/>
                      <w:bCs/>
                      <w:highlight w:val="none"/>
                    </w:rPr>
                    <w:t>250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b/>
                      <w:bCs/>
                      <w:highlight w:val="none"/>
                    </w:rPr>
                  </w:pPr>
                  <w:r>
                    <w:rPr>
                      <w:b/>
                      <w:bCs/>
                      <w:highlight w:val="none"/>
                    </w:rPr>
                    <w:t>35</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b/>
                      <w:bCs/>
                      <w:highlight w:val="none"/>
                    </w:rPr>
                  </w:pPr>
                  <w:r>
                    <w:rPr>
                      <w:b/>
                      <w:bCs/>
                      <w:highlight w:val="none"/>
                    </w:rPr>
                    <w:t>6</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b/>
                      <w:bCs/>
                      <w:highlight w:val="none"/>
                    </w:rPr>
                  </w:pPr>
                  <w:r>
                    <w:rPr>
                      <w:b/>
                      <w:bCs/>
                      <w:highlight w:val="none"/>
                    </w:rPr>
                    <w:t>50</w:t>
                  </w:r>
                </w:p>
              </w:tc>
              <w:tc>
                <w:tcPr>
                  <w:tcW w:w="830" w:type="dxa"/>
                  <w:vAlign w:val="center"/>
                </w:tcPr>
                <w:p>
                  <w:pPr>
                    <w:pStyle w:val="17"/>
                    <w:keepNext w:val="0"/>
                    <w:keepLines w:val="0"/>
                    <w:pageBreakBefore w:val="0"/>
                    <w:kinsoku/>
                    <w:wordWrap/>
                    <w:overflowPunct w:val="0"/>
                    <w:topLinePunct w:val="0"/>
                    <w:autoSpaceDE w:val="0"/>
                    <w:autoSpaceDN w:val="0"/>
                    <w:bidi w:val="0"/>
                    <w:adjustRightInd w:val="0"/>
                    <w:snapToGrid w:val="0"/>
                    <w:rPr>
                      <w:b/>
                      <w:bCs/>
                      <w:highlight w:val="none"/>
                    </w:rPr>
                  </w:pPr>
                  <w:r>
                    <w:rPr>
                      <w:rFonts w:hint="eastAsia"/>
                      <w:b/>
                      <w:bCs/>
                      <w:highlight w:val="none"/>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2" w:hRule="atLeast"/>
                <w:jc w:val="center"/>
              </w:trPr>
              <w:tc>
                <w:tcPr>
                  <w:tcW w:w="762"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highlight w:val="none"/>
                    </w:rPr>
                    <w:t>合肥西部组团污水处理厂排放量</w:t>
                  </w:r>
                  <w:r>
                    <w:rPr>
                      <w:rFonts w:hint="eastAsia"/>
                      <w:highlight w:val="none"/>
                      <w:lang w:val="en-US" w:eastAsia="zh-CN"/>
                    </w:rPr>
                    <w:t>626.1</w:t>
                  </w:r>
                  <w:r>
                    <w:rPr>
                      <w:color w:val="000000" w:themeColor="text1"/>
                      <w:highlight w:val="none"/>
                      <w14:textFill>
                        <w14:solidFill>
                          <w14:schemeClr w14:val="tx1"/>
                        </w14:solidFill>
                      </w14:textFill>
                    </w:rPr>
                    <w:t>t</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color w:val="000000" w:themeColor="text1"/>
                      <w:highlight w:val="none"/>
                      <w14:textFill>
                        <w14:solidFill>
                          <w14:schemeClr w14:val="tx1"/>
                        </w14:solidFill>
                      </w14:textFill>
                    </w:rPr>
                    <w:t>/a</w:t>
                  </w:r>
                </w:p>
              </w:tc>
              <w:tc>
                <w:tcPr>
                  <w:tcW w:w="949"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排放浓度</w:t>
                  </w:r>
                  <w:r>
                    <w:rPr>
                      <w:rFonts w:hint="eastAsia"/>
                      <w:highlight w:val="none"/>
                    </w:rPr>
                    <w:t>（mg/L）</w:t>
                  </w:r>
                </w:p>
              </w:tc>
              <w:tc>
                <w:tcPr>
                  <w:tcW w:w="58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6~9</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10</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0.3</w:t>
                  </w:r>
                </w:p>
              </w:tc>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10</w:t>
                  </w:r>
                </w:p>
              </w:tc>
              <w:tc>
                <w:tcPr>
                  <w:tcW w:w="8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76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49"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排放量</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（t/a）</w:t>
                  </w:r>
                </w:p>
              </w:tc>
              <w:tc>
                <w:tcPr>
                  <w:tcW w:w="58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822" w:type="dxa"/>
                  <w:vAlign w:val="center"/>
                </w:tcPr>
                <w:p>
                  <w:pPr>
                    <w:keepNext w:val="0"/>
                    <w:keepLines w:val="0"/>
                    <w:pageBreakBefore w:val="0"/>
                    <w:widowControl/>
                    <w:suppressLineNumbers w:val="0"/>
                    <w:kinsoku/>
                    <w:wordWrap/>
                    <w:overflowPunct w:val="0"/>
                    <w:topLinePunct w:val="0"/>
                    <w:autoSpaceDE w:val="0"/>
                    <w:autoSpaceDN w:val="0"/>
                    <w:bidi w:val="0"/>
                    <w:adjustRightInd w:val="0"/>
                    <w:snapToGrid w:val="0"/>
                    <w:jc w:val="center"/>
                    <w:textAlignment w:val="center"/>
                    <w:rPr>
                      <w:highlight w:val="none"/>
                      <w:lang w:eastAsia="zh-CN"/>
                    </w:rPr>
                  </w:pPr>
                  <w:r>
                    <w:rPr>
                      <w:rFonts w:hint="default" w:ascii="Times New Roman" w:hAnsi="Times New Roman" w:eastAsia="宋体" w:cs="Times New Roman"/>
                      <w:i w:val="0"/>
                      <w:iCs w:val="0"/>
                      <w:snapToGrid w:val="0"/>
                      <w:color w:val="000000"/>
                      <w:kern w:val="0"/>
                      <w:sz w:val="21"/>
                      <w:szCs w:val="21"/>
                      <w:highlight w:val="none"/>
                      <w:u w:val="none"/>
                      <w:lang w:val="en-US" w:eastAsia="zh-CN" w:bidi="ar"/>
                    </w:rPr>
                    <w:t>0.0250</w:t>
                  </w:r>
                </w:p>
              </w:tc>
              <w:tc>
                <w:tcPr>
                  <w:tcW w:w="822" w:type="dxa"/>
                  <w:vAlign w:val="center"/>
                </w:tcPr>
                <w:p>
                  <w:pPr>
                    <w:keepNext w:val="0"/>
                    <w:keepLines w:val="0"/>
                    <w:pageBreakBefore w:val="0"/>
                    <w:widowControl/>
                    <w:suppressLineNumbers w:val="0"/>
                    <w:kinsoku/>
                    <w:wordWrap/>
                    <w:overflowPunct w:val="0"/>
                    <w:topLinePunct w:val="0"/>
                    <w:autoSpaceDE w:val="0"/>
                    <w:autoSpaceDN w:val="0"/>
                    <w:bidi w:val="0"/>
                    <w:adjustRightInd w:val="0"/>
                    <w:snapToGrid w:val="0"/>
                    <w:jc w:val="center"/>
                    <w:textAlignment w:val="center"/>
                    <w:rPr>
                      <w:highlight w:val="none"/>
                      <w:lang w:eastAsia="zh-CN"/>
                    </w:rPr>
                  </w:pPr>
                  <w:r>
                    <w:rPr>
                      <w:rFonts w:hint="default" w:ascii="Times New Roman" w:hAnsi="Times New Roman" w:eastAsia="宋体" w:cs="Times New Roman"/>
                      <w:i w:val="0"/>
                      <w:iCs w:val="0"/>
                      <w:snapToGrid w:val="0"/>
                      <w:color w:val="000000"/>
                      <w:kern w:val="0"/>
                      <w:sz w:val="21"/>
                      <w:szCs w:val="21"/>
                      <w:highlight w:val="none"/>
                      <w:u w:val="none"/>
                      <w:lang w:val="en-US" w:eastAsia="zh-CN" w:bidi="ar"/>
                    </w:rPr>
                    <w:t>0.0063</w:t>
                  </w:r>
                </w:p>
              </w:tc>
              <w:tc>
                <w:tcPr>
                  <w:tcW w:w="822" w:type="dxa"/>
                  <w:vAlign w:val="center"/>
                </w:tcPr>
                <w:p>
                  <w:pPr>
                    <w:keepNext w:val="0"/>
                    <w:keepLines w:val="0"/>
                    <w:pageBreakBefore w:val="0"/>
                    <w:widowControl/>
                    <w:suppressLineNumbers w:val="0"/>
                    <w:kinsoku/>
                    <w:wordWrap/>
                    <w:overflowPunct w:val="0"/>
                    <w:topLinePunct w:val="0"/>
                    <w:autoSpaceDE w:val="0"/>
                    <w:autoSpaceDN w:val="0"/>
                    <w:bidi w:val="0"/>
                    <w:adjustRightInd w:val="0"/>
                    <w:snapToGrid w:val="0"/>
                    <w:jc w:val="center"/>
                    <w:textAlignment w:val="center"/>
                    <w:rPr>
                      <w:highlight w:val="none"/>
                      <w:lang w:eastAsia="zh-CN"/>
                    </w:rPr>
                  </w:pPr>
                  <w:r>
                    <w:rPr>
                      <w:rFonts w:hint="default" w:ascii="Times New Roman" w:hAnsi="Times New Roman" w:eastAsia="宋体" w:cs="Times New Roman"/>
                      <w:i w:val="0"/>
                      <w:iCs w:val="0"/>
                      <w:snapToGrid w:val="0"/>
                      <w:color w:val="000000"/>
                      <w:kern w:val="0"/>
                      <w:sz w:val="21"/>
                      <w:szCs w:val="21"/>
                      <w:highlight w:val="none"/>
                      <w:u w:val="none"/>
                      <w:lang w:val="en-US" w:eastAsia="zh-CN" w:bidi="ar"/>
                    </w:rPr>
                    <w:t>0.0063</w:t>
                  </w:r>
                </w:p>
              </w:tc>
              <w:tc>
                <w:tcPr>
                  <w:tcW w:w="822" w:type="dxa"/>
                  <w:vAlign w:val="center"/>
                </w:tcPr>
                <w:p>
                  <w:pPr>
                    <w:keepNext w:val="0"/>
                    <w:keepLines w:val="0"/>
                    <w:pageBreakBefore w:val="0"/>
                    <w:widowControl/>
                    <w:suppressLineNumbers w:val="0"/>
                    <w:kinsoku/>
                    <w:wordWrap/>
                    <w:overflowPunct w:val="0"/>
                    <w:topLinePunct w:val="0"/>
                    <w:autoSpaceDE w:val="0"/>
                    <w:autoSpaceDN w:val="0"/>
                    <w:bidi w:val="0"/>
                    <w:adjustRightInd w:val="0"/>
                    <w:snapToGrid w:val="0"/>
                    <w:jc w:val="center"/>
                    <w:textAlignment w:val="center"/>
                    <w:rPr>
                      <w:highlight w:val="none"/>
                      <w:lang w:eastAsia="zh-CN"/>
                    </w:rPr>
                  </w:pPr>
                  <w:r>
                    <w:rPr>
                      <w:rFonts w:hint="default" w:ascii="Times New Roman" w:hAnsi="Times New Roman" w:eastAsia="宋体" w:cs="Times New Roman"/>
                      <w:i w:val="0"/>
                      <w:iCs w:val="0"/>
                      <w:snapToGrid w:val="0"/>
                      <w:color w:val="000000"/>
                      <w:kern w:val="0"/>
                      <w:sz w:val="21"/>
                      <w:szCs w:val="21"/>
                      <w:highlight w:val="none"/>
                      <w:u w:val="none"/>
                      <w:lang w:val="en-US" w:eastAsia="zh-CN" w:bidi="ar"/>
                    </w:rPr>
                    <w:t>0.0013</w:t>
                  </w:r>
                </w:p>
              </w:tc>
              <w:tc>
                <w:tcPr>
                  <w:tcW w:w="822" w:type="dxa"/>
                  <w:vAlign w:val="center"/>
                </w:tcPr>
                <w:p>
                  <w:pPr>
                    <w:keepNext w:val="0"/>
                    <w:keepLines w:val="0"/>
                    <w:pageBreakBefore w:val="0"/>
                    <w:widowControl/>
                    <w:suppressLineNumbers w:val="0"/>
                    <w:kinsoku/>
                    <w:wordWrap/>
                    <w:overflowPunct w:val="0"/>
                    <w:topLinePunct w:val="0"/>
                    <w:autoSpaceDE w:val="0"/>
                    <w:autoSpaceDN w:val="0"/>
                    <w:bidi w:val="0"/>
                    <w:adjustRightInd w:val="0"/>
                    <w:snapToGrid w:val="0"/>
                    <w:jc w:val="center"/>
                    <w:textAlignment w:val="center"/>
                    <w:rPr>
                      <w:highlight w:val="none"/>
                      <w:lang w:eastAsia="zh-CN"/>
                    </w:rPr>
                  </w:pPr>
                  <w:r>
                    <w:rPr>
                      <w:rFonts w:hint="default" w:ascii="Times New Roman" w:hAnsi="Times New Roman" w:eastAsia="宋体" w:cs="Times New Roman"/>
                      <w:i w:val="0"/>
                      <w:iCs w:val="0"/>
                      <w:snapToGrid w:val="0"/>
                      <w:color w:val="000000"/>
                      <w:kern w:val="0"/>
                      <w:sz w:val="21"/>
                      <w:szCs w:val="21"/>
                      <w:highlight w:val="none"/>
                      <w:u w:val="none"/>
                      <w:lang w:val="en-US" w:eastAsia="zh-CN" w:bidi="ar"/>
                    </w:rPr>
                    <w:t>0.0002</w:t>
                  </w:r>
                </w:p>
              </w:tc>
              <w:tc>
                <w:tcPr>
                  <w:tcW w:w="822" w:type="dxa"/>
                  <w:vAlign w:val="center"/>
                </w:tcPr>
                <w:p>
                  <w:pPr>
                    <w:keepNext w:val="0"/>
                    <w:keepLines w:val="0"/>
                    <w:pageBreakBefore w:val="0"/>
                    <w:widowControl/>
                    <w:suppressLineNumbers w:val="0"/>
                    <w:kinsoku/>
                    <w:wordWrap/>
                    <w:overflowPunct w:val="0"/>
                    <w:topLinePunct w:val="0"/>
                    <w:autoSpaceDE w:val="0"/>
                    <w:autoSpaceDN w:val="0"/>
                    <w:bidi w:val="0"/>
                    <w:adjustRightInd w:val="0"/>
                    <w:snapToGrid w:val="0"/>
                    <w:jc w:val="center"/>
                    <w:textAlignment w:val="center"/>
                    <w:rPr>
                      <w:highlight w:val="none"/>
                      <w:lang w:eastAsia="zh-CN"/>
                    </w:rPr>
                  </w:pPr>
                  <w:r>
                    <w:rPr>
                      <w:rFonts w:hint="default" w:ascii="Times New Roman" w:hAnsi="Times New Roman" w:eastAsia="宋体" w:cs="Times New Roman"/>
                      <w:i w:val="0"/>
                      <w:iCs w:val="0"/>
                      <w:snapToGrid w:val="0"/>
                      <w:color w:val="000000"/>
                      <w:kern w:val="0"/>
                      <w:sz w:val="21"/>
                      <w:szCs w:val="21"/>
                      <w:highlight w:val="none"/>
                      <w:u w:val="none"/>
                      <w:lang w:val="en-US" w:eastAsia="zh-CN" w:bidi="ar"/>
                    </w:rPr>
                    <w:t>0.0063</w:t>
                  </w:r>
                </w:p>
              </w:tc>
              <w:tc>
                <w:tcPr>
                  <w:tcW w:w="830" w:type="dxa"/>
                  <w:vAlign w:val="center"/>
                </w:tcPr>
                <w:p>
                  <w:pPr>
                    <w:keepNext w:val="0"/>
                    <w:keepLines w:val="0"/>
                    <w:pageBreakBefore w:val="0"/>
                    <w:widowControl/>
                    <w:suppressLineNumbers w:val="0"/>
                    <w:kinsoku/>
                    <w:wordWrap/>
                    <w:overflowPunct w:val="0"/>
                    <w:topLinePunct w:val="0"/>
                    <w:autoSpaceDE w:val="0"/>
                    <w:autoSpaceDN w:val="0"/>
                    <w:bidi w:val="0"/>
                    <w:adjustRightInd w:val="0"/>
                    <w:snapToGrid w:val="0"/>
                    <w:jc w:val="center"/>
                    <w:textAlignment w:val="center"/>
                    <w:rPr>
                      <w:highlight w:val="none"/>
                      <w:lang w:eastAsia="zh-CN"/>
                    </w:rPr>
                  </w:pPr>
                  <w:r>
                    <w:rPr>
                      <w:rFonts w:hint="default" w:ascii="Times New Roman" w:hAnsi="Times New Roman" w:eastAsia="宋体" w:cs="Times New Roman"/>
                      <w:i w:val="0"/>
                      <w:iCs w:val="0"/>
                      <w:snapToGrid w:val="0"/>
                      <w:color w:val="000000"/>
                      <w:kern w:val="0"/>
                      <w:sz w:val="21"/>
                      <w:szCs w:val="21"/>
                      <w:highlight w:val="none"/>
                      <w:u w:val="none"/>
                      <w:lang w:val="en-US" w:eastAsia="zh-CN" w:bidi="ar"/>
                    </w:rPr>
                    <w:t>0.0006</w:t>
                  </w:r>
                </w:p>
              </w:tc>
            </w:tr>
          </w:tbl>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highlight w:val="none"/>
                <w:lang w:eastAsia="zh-CN"/>
              </w:rPr>
              <w:t>表4-</w:t>
            </w:r>
            <w:r>
              <w:rPr>
                <w:rFonts w:hint="eastAsia"/>
                <w:highlight w:val="none"/>
                <w:lang w:eastAsia="zh-CN"/>
              </w:rPr>
              <w:t>5</w:t>
            </w:r>
            <w:r>
              <w:rPr>
                <w:highlight w:val="none"/>
                <w:lang w:eastAsia="zh-CN"/>
              </w:rPr>
              <w:t xml:space="preserve"> 废水类别、污染物及污染治理设施信息一览表</w:t>
            </w:r>
          </w:p>
          <w:tbl>
            <w:tblPr>
              <w:tblStyle w:val="21"/>
              <w:tblW w:w="7758" w:type="dxa"/>
              <w:jc w:val="center"/>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Layout w:type="fixed"/>
              <w:tblCellMar>
                <w:top w:w="0" w:type="dxa"/>
                <w:left w:w="0" w:type="dxa"/>
                <w:bottom w:w="0" w:type="dxa"/>
                <w:right w:w="0" w:type="dxa"/>
              </w:tblCellMar>
            </w:tblPr>
            <w:tblGrid>
              <w:gridCol w:w="923"/>
              <w:gridCol w:w="1175"/>
              <w:gridCol w:w="604"/>
              <w:gridCol w:w="1242"/>
              <w:gridCol w:w="672"/>
              <w:gridCol w:w="717"/>
              <w:gridCol w:w="757"/>
              <w:gridCol w:w="524"/>
              <w:gridCol w:w="672"/>
              <w:gridCol w:w="472"/>
            </w:tblGrid>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370" w:hRule="atLeast"/>
                <w:jc w:val="center"/>
              </w:trPr>
              <w:tc>
                <w:tcPr>
                  <w:tcW w:w="923"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废水类别</w:t>
                  </w:r>
                </w:p>
              </w:tc>
              <w:tc>
                <w:tcPr>
                  <w:tcW w:w="1175"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污染物种类</w:t>
                  </w:r>
                </w:p>
              </w:tc>
              <w:tc>
                <w:tcPr>
                  <w:tcW w:w="604"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排放去向</w:t>
                  </w:r>
                </w:p>
              </w:tc>
              <w:tc>
                <w:tcPr>
                  <w:tcW w:w="1242"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排放规律</w:t>
                  </w:r>
                </w:p>
              </w:tc>
              <w:tc>
                <w:tcPr>
                  <w:tcW w:w="2146" w:type="dxa"/>
                  <w:gridSpan w:val="3"/>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污染治理设施</w:t>
                  </w:r>
                </w:p>
              </w:tc>
              <w:tc>
                <w:tcPr>
                  <w:tcW w:w="524"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排放口编号</w:t>
                  </w:r>
                </w:p>
              </w:tc>
              <w:tc>
                <w:tcPr>
                  <w:tcW w:w="672"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排放口设置是否符合要求</w:t>
                  </w:r>
                </w:p>
              </w:tc>
              <w:tc>
                <w:tcPr>
                  <w:tcW w:w="472"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排放口类型</w:t>
                  </w: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917" w:hRule="atLeast"/>
                <w:jc w:val="center"/>
              </w:trPr>
              <w:tc>
                <w:tcPr>
                  <w:tcW w:w="923"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75"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04"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242"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污染治理设施编号</w:t>
                  </w:r>
                </w:p>
              </w:tc>
              <w:tc>
                <w:tcPr>
                  <w:tcW w:w="71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污染治理设施名称</w:t>
                  </w:r>
                </w:p>
              </w:tc>
              <w:tc>
                <w:tcPr>
                  <w:tcW w:w="75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污染治理设施工艺</w:t>
                  </w:r>
                </w:p>
              </w:tc>
              <w:tc>
                <w:tcPr>
                  <w:tcW w:w="524"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2"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72"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2036" w:hRule="atLeast"/>
                <w:jc w:val="center"/>
              </w:trPr>
              <w:tc>
                <w:tcPr>
                  <w:tcW w:w="92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生活污水</w:t>
                  </w:r>
                  <w:r>
                    <w:rPr>
                      <w:rFonts w:hint="eastAsia"/>
                      <w:highlight w:val="none"/>
                    </w:rPr>
                    <w:t>、餐饮废水、未可预见废水</w:t>
                  </w:r>
                </w:p>
              </w:tc>
              <w:tc>
                <w:tcPr>
                  <w:tcW w:w="117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pH、COD、BOD</w:t>
                  </w:r>
                  <w:r>
                    <w:rPr>
                      <w:highlight w:val="none"/>
                      <w:vertAlign w:val="subscript"/>
                    </w:rPr>
                    <w:t>5</w:t>
                  </w:r>
                  <w:r>
                    <w:rPr>
                      <w:highlight w:val="none"/>
                    </w:rPr>
                    <w:t>、SS、NH</w:t>
                  </w:r>
                  <w:r>
                    <w:rPr>
                      <w:highlight w:val="none"/>
                      <w:vertAlign w:val="subscript"/>
                    </w:rPr>
                    <w:t>3</w:t>
                  </w:r>
                  <w:r>
                    <w:rPr>
                      <w:highlight w:val="none"/>
                    </w:rPr>
                    <w:t>-N、TP、</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TN</w:t>
                  </w:r>
                  <w:r>
                    <w:rPr>
                      <w:rFonts w:hint="eastAsia"/>
                      <w:highlight w:val="none"/>
                    </w:rPr>
                    <w:t>、动植物油</w:t>
                  </w:r>
                </w:p>
              </w:tc>
              <w:tc>
                <w:tcPr>
                  <w:tcW w:w="60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合肥西部</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组团污水处理厂</w:t>
                  </w:r>
                </w:p>
              </w:tc>
              <w:tc>
                <w:tcPr>
                  <w:tcW w:w="124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间断排放，排放期间流量不稳定且无规律，但不属于冲击型排放</w:t>
                  </w:r>
                </w:p>
              </w:tc>
              <w:tc>
                <w:tcPr>
                  <w:tcW w:w="67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TW001</w:t>
                  </w:r>
                </w:p>
              </w:tc>
              <w:tc>
                <w:tcPr>
                  <w:tcW w:w="71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化粪池</w:t>
                  </w:r>
                </w:p>
              </w:tc>
              <w:tc>
                <w:tcPr>
                  <w:tcW w:w="75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物理沉淀、厌氧生物分解</w:t>
                  </w:r>
                </w:p>
              </w:tc>
              <w:tc>
                <w:tcPr>
                  <w:tcW w:w="52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DW001</w:t>
                  </w:r>
                </w:p>
              </w:tc>
              <w:tc>
                <w:tcPr>
                  <w:tcW w:w="67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是</w:t>
                  </w:r>
                </w:p>
              </w:tc>
              <w:tc>
                <w:tcPr>
                  <w:tcW w:w="47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企业总排口</w:t>
                  </w:r>
                </w:p>
              </w:tc>
            </w:tr>
          </w:tbl>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rFonts w:hint="eastAsia"/>
                <w:highlight w:val="none"/>
                <w:lang w:eastAsia="zh-CN"/>
              </w:rPr>
              <w:t>表4-6 废水间接排放口基本情况表</w:t>
            </w:r>
          </w:p>
          <w:tbl>
            <w:tblPr>
              <w:tblStyle w:val="21"/>
              <w:tblW w:w="7636" w:type="dxa"/>
              <w:jc w:val="center"/>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Layout w:type="fixed"/>
              <w:tblCellMar>
                <w:top w:w="0" w:type="dxa"/>
                <w:left w:w="0" w:type="dxa"/>
                <w:bottom w:w="0" w:type="dxa"/>
                <w:right w:w="0" w:type="dxa"/>
              </w:tblCellMar>
            </w:tblPr>
            <w:tblGrid>
              <w:gridCol w:w="302"/>
              <w:gridCol w:w="671"/>
              <w:gridCol w:w="493"/>
              <w:gridCol w:w="891"/>
              <w:gridCol w:w="794"/>
              <w:gridCol w:w="902"/>
              <w:gridCol w:w="1171"/>
              <w:gridCol w:w="1056"/>
              <w:gridCol w:w="881"/>
              <w:gridCol w:w="475"/>
            </w:tblGrid>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16" w:hRule="atLeast"/>
                <w:jc w:val="center"/>
              </w:trPr>
              <w:tc>
                <w:tcPr>
                  <w:tcW w:w="302"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序号</w:t>
                  </w:r>
                </w:p>
              </w:tc>
              <w:tc>
                <w:tcPr>
                  <w:tcW w:w="671"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排放口编号</w:t>
                  </w:r>
                </w:p>
              </w:tc>
              <w:tc>
                <w:tcPr>
                  <w:tcW w:w="493"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排放口名称</w:t>
                  </w:r>
                </w:p>
              </w:tc>
              <w:tc>
                <w:tcPr>
                  <w:tcW w:w="1685"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排放口地理坐标</w:t>
                  </w:r>
                </w:p>
              </w:tc>
              <w:tc>
                <w:tcPr>
                  <w:tcW w:w="902"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排放去向</w:t>
                  </w:r>
                </w:p>
              </w:tc>
              <w:tc>
                <w:tcPr>
                  <w:tcW w:w="3108" w:type="dxa"/>
                  <w:gridSpan w:val="3"/>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排放标准</w:t>
                  </w:r>
                </w:p>
              </w:tc>
              <w:tc>
                <w:tcPr>
                  <w:tcW w:w="475"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排放口类型</w:t>
                  </w: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1139" w:hRule="atLeast"/>
                <w:jc w:val="center"/>
              </w:trPr>
              <w:tc>
                <w:tcPr>
                  <w:tcW w:w="302" w:type="dxa"/>
                  <w:vMerge w:val="continue"/>
                  <w:tcBorders>
                    <w:top w:val="nil"/>
                  </w:tcBorders>
                  <w:textDirection w:val="tbRlV"/>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1"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93"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9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经度</w:t>
                  </w:r>
                </w:p>
              </w:tc>
              <w:tc>
                <w:tcPr>
                  <w:tcW w:w="79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纬度</w:t>
                  </w:r>
                </w:p>
              </w:tc>
              <w:tc>
                <w:tcPr>
                  <w:tcW w:w="902"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7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合肥西部组团污水处理厂</w:t>
                  </w:r>
                </w:p>
              </w:tc>
              <w:tc>
                <w:tcPr>
                  <w:tcW w:w="10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污染物种类</w:t>
                  </w:r>
                </w:p>
              </w:tc>
              <w:tc>
                <w:tcPr>
                  <w:tcW w:w="88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浓度限制（mg/L）</w:t>
                  </w:r>
                </w:p>
              </w:tc>
              <w:tc>
                <w:tcPr>
                  <w:tcW w:w="475"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02"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w:t>
                  </w:r>
                </w:p>
              </w:tc>
              <w:tc>
                <w:tcPr>
                  <w:tcW w:w="671"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DW001</w:t>
                  </w:r>
                </w:p>
              </w:tc>
              <w:tc>
                <w:tcPr>
                  <w:tcW w:w="493"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企业总排口</w:t>
                  </w:r>
                </w:p>
              </w:tc>
              <w:tc>
                <w:tcPr>
                  <w:tcW w:w="891"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117.13541</w:t>
                  </w:r>
                </w:p>
              </w:tc>
              <w:tc>
                <w:tcPr>
                  <w:tcW w:w="794"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31.79094</w:t>
                  </w:r>
                </w:p>
              </w:tc>
              <w:tc>
                <w:tcPr>
                  <w:tcW w:w="902"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进</w:t>
                  </w:r>
                  <w:r>
                    <w:rPr>
                      <w:highlight w:val="none"/>
                    </w:rPr>
                    <w:t>合肥西部组团污水处理厂</w:t>
                  </w:r>
                </w:p>
              </w:tc>
              <w:tc>
                <w:tcPr>
                  <w:tcW w:w="1171"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合肥西部组团污水处理</w:t>
                  </w:r>
                  <w:r>
                    <w:rPr>
                      <w:rFonts w:hint="eastAsia"/>
                      <w:highlight w:val="none"/>
                    </w:rPr>
                    <w:t>厂</w:t>
                  </w:r>
                </w:p>
              </w:tc>
              <w:tc>
                <w:tcPr>
                  <w:tcW w:w="10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pH</w:t>
                  </w:r>
                </w:p>
              </w:tc>
              <w:tc>
                <w:tcPr>
                  <w:tcW w:w="88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6~9</w:t>
                  </w:r>
                </w:p>
              </w:tc>
              <w:tc>
                <w:tcPr>
                  <w:tcW w:w="475"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一般排放口</w:t>
                  </w: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02"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93"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9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94"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02"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7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0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COD</w:t>
                  </w:r>
                </w:p>
              </w:tc>
              <w:tc>
                <w:tcPr>
                  <w:tcW w:w="88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40</w:t>
                  </w:r>
                </w:p>
              </w:tc>
              <w:tc>
                <w:tcPr>
                  <w:tcW w:w="475"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02"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93"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9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94"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02"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7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0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BOD</w:t>
                  </w:r>
                  <w:r>
                    <w:rPr>
                      <w:highlight w:val="none"/>
                      <w:vertAlign w:val="subscript"/>
                    </w:rPr>
                    <w:t>5</w:t>
                  </w:r>
                </w:p>
              </w:tc>
              <w:tc>
                <w:tcPr>
                  <w:tcW w:w="88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10</w:t>
                  </w:r>
                </w:p>
              </w:tc>
              <w:tc>
                <w:tcPr>
                  <w:tcW w:w="475"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PrEx>
              <w:trPr>
                <w:trHeight w:val="57" w:hRule="atLeast"/>
                <w:jc w:val="center"/>
              </w:trPr>
              <w:tc>
                <w:tcPr>
                  <w:tcW w:w="302"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93"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9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94"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02"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7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0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SS</w:t>
                  </w:r>
                </w:p>
              </w:tc>
              <w:tc>
                <w:tcPr>
                  <w:tcW w:w="88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10</w:t>
                  </w:r>
                </w:p>
              </w:tc>
              <w:tc>
                <w:tcPr>
                  <w:tcW w:w="475"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02"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93"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9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94"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02"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7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0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NH</w:t>
                  </w:r>
                  <w:r>
                    <w:rPr>
                      <w:highlight w:val="none"/>
                      <w:vertAlign w:val="subscript"/>
                    </w:rPr>
                    <w:t>3</w:t>
                  </w:r>
                  <w:r>
                    <w:rPr>
                      <w:highlight w:val="none"/>
                    </w:rPr>
                    <w:t>-N</w:t>
                  </w:r>
                </w:p>
              </w:tc>
              <w:tc>
                <w:tcPr>
                  <w:tcW w:w="88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w:t>
                  </w:r>
                </w:p>
              </w:tc>
              <w:tc>
                <w:tcPr>
                  <w:tcW w:w="475"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PrEx>
              <w:trPr>
                <w:trHeight w:val="57" w:hRule="atLeast"/>
                <w:jc w:val="center"/>
              </w:trPr>
              <w:tc>
                <w:tcPr>
                  <w:tcW w:w="302"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1"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93"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91"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94"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02"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7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0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TP</w:t>
                  </w:r>
                </w:p>
              </w:tc>
              <w:tc>
                <w:tcPr>
                  <w:tcW w:w="88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0.3</w:t>
                  </w:r>
                </w:p>
              </w:tc>
              <w:tc>
                <w:tcPr>
                  <w:tcW w:w="475"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0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9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9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0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7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0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TN</w:t>
                  </w:r>
                </w:p>
              </w:tc>
              <w:tc>
                <w:tcPr>
                  <w:tcW w:w="88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10</w:t>
                  </w:r>
                </w:p>
              </w:tc>
              <w:tc>
                <w:tcPr>
                  <w:tcW w:w="47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auto" w:sz="4" w:space="0"/>
                  <w:left w:val="single" w:color="auto" w:sz="4" w:space="0"/>
                  <w:bottom w:val="single" w:color="auto" w:sz="4" w:space="0"/>
                  <w:right w:val="single" w:color="auto" w:sz="4" w:space="0"/>
                  <w:insideH w:val="single" w:color="000000" w:sz="2" w:space="0"/>
                  <w:insideV w:val="single" w:color="000000" w:sz="2" w:space="0"/>
                </w:tblBorders>
                <w:tblCellMar>
                  <w:top w:w="0" w:type="dxa"/>
                  <w:left w:w="0" w:type="dxa"/>
                  <w:bottom w:w="0" w:type="dxa"/>
                  <w:right w:w="0" w:type="dxa"/>
                </w:tblCellMar>
              </w:tblPrEx>
              <w:trPr>
                <w:trHeight w:val="57" w:hRule="atLeast"/>
                <w:jc w:val="center"/>
              </w:trPr>
              <w:tc>
                <w:tcPr>
                  <w:tcW w:w="30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7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93"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9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94"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902"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71"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0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动植物油</w:t>
                  </w:r>
                </w:p>
              </w:tc>
              <w:tc>
                <w:tcPr>
                  <w:tcW w:w="88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1</w:t>
                  </w:r>
                </w:p>
              </w:tc>
              <w:tc>
                <w:tcPr>
                  <w:tcW w:w="47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bl>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2</w:t>
            </w:r>
            <w:r>
              <w:rPr>
                <w:b/>
                <w:bCs/>
                <w:highlight w:val="none"/>
                <w:lang w:eastAsia="zh-CN"/>
              </w:rPr>
              <w:t>、废水污染治理设施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由工程分析结果可知，本项目运行中，项目的废水主要为生活污水和餐饮废水。</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（1）生活污水处理工艺可行性分析</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餐饮废水经过油水分离器预处理后和生活污水、未可预见废水进入化粪池处理后，排入市政污水管网。《排污许可证申请与核发技术规范总则》（HJ942-2018）中，生活污水处理站采用化粪池处理，属于可行技术。</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（2）废水接管可行性分析</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合肥西部组团污水处理厂位于派河大道、玉兰大道、文山路、规划派河所围区域内，排入派河截导污工程，最终进入巢湖。污水处理厂近期工程规模为10万m</w:t>
            </w:r>
            <w:r>
              <w:rPr>
                <w:rFonts w:hint="eastAsia"/>
                <w:highlight w:val="none"/>
                <w:vertAlign w:val="superscript"/>
                <w:lang w:eastAsia="zh-CN"/>
              </w:rPr>
              <w:t>3</w:t>
            </w:r>
            <w:r>
              <w:rPr>
                <w:rFonts w:hint="eastAsia"/>
                <w:highlight w:val="none"/>
                <w:lang w:eastAsia="zh-CN"/>
              </w:rPr>
              <w:t>/d，二期工程建设污水处理规模20万吨/d，远期总规模为50万～60万m</w:t>
            </w:r>
            <w:r>
              <w:rPr>
                <w:rFonts w:hint="eastAsia"/>
                <w:highlight w:val="none"/>
                <w:vertAlign w:val="superscript"/>
                <w:lang w:eastAsia="zh-CN"/>
              </w:rPr>
              <w:t>3</w:t>
            </w:r>
            <w:r>
              <w:rPr>
                <w:rFonts w:hint="eastAsia"/>
                <w:highlight w:val="none"/>
                <w:lang w:eastAsia="zh-CN"/>
              </w:rPr>
              <w:t>/d。出水水质目前执行《巢湖流域城镇污水处理厂和工业行业主要水污染物排放限值》（DB34/2701-2016）标准。</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1）水量：项目新增日最大排水量为0.9818m</w:t>
            </w:r>
            <w:r>
              <w:rPr>
                <w:rFonts w:hint="eastAsia"/>
                <w:highlight w:val="none"/>
                <w:vertAlign w:val="superscript"/>
                <w:lang w:eastAsia="zh-CN"/>
              </w:rPr>
              <w:t>3</w:t>
            </w:r>
            <w:r>
              <w:rPr>
                <w:rFonts w:hint="eastAsia"/>
                <w:highlight w:val="none"/>
                <w:lang w:eastAsia="zh-CN"/>
              </w:rPr>
              <w:t>/d，新增排放水量相对于污水处理厂接管能力来说很小，不会对其水量造成冲击，从水量角度接管是可行的。</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2）水质：对照前文分析项目废水排放情况可知，本项目各项水污染物排放浓度均可满足污水处理厂接管浓度限值，从水质角度接管是可行的。</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3）管网建设：项目位于污水处理厂收水范围内，且项目地污水管网已经敷设完成，因此项目废水接入污水处理厂从管线、位置落实情况上分析是可行的。</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综上所述，从接管达标、处理余量、管网衔接、污水处理厂现状及运行、处理工艺适用性等方面分析，本项目废水排入合肥西部组团污水处理厂是可行的。</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（3）废水排放的影响</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综上所述，本项目生活污水、餐饮废水和未可预见废水进入化粪池处理后排入污水总排口，排入合肥西部组团污水处理厂处理，达标后排入派河截导污工程，最终进入巢湖。项目废水排放量较小且成分简单，不会降低地表水派河的现有水环境功能，从水环境影响角度分析，项目建设可行。</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3、</w:t>
            </w:r>
            <w:r>
              <w:rPr>
                <w:b/>
                <w:bCs/>
                <w:highlight w:val="none"/>
                <w:lang w:eastAsia="zh-CN"/>
              </w:rPr>
              <w:t>监测计划</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本项目的国民经济行业类别为C3670汽车零部件及配件制造，根据《固定污染源排污许可分类管理名录（2019 年版）》，本项目实行排污许可证登记管理。</w:t>
            </w:r>
            <w:r>
              <w:rPr>
                <w:rFonts w:hint="eastAsia"/>
                <w:highlight w:val="none"/>
                <w:lang w:eastAsia="zh-CN"/>
              </w:rPr>
              <w:t>可参照《排污许可证申请与核发技术规范总则》（HJ819-2018）、《排污许可证申请与核发技术规范汽车制造业》（HJ971-2018）</w:t>
            </w:r>
            <w:r>
              <w:rPr>
                <w:highlight w:val="none"/>
                <w:lang w:eastAsia="zh-CN"/>
              </w:rPr>
              <w:t>，项目废水排放口监测指标及最低监测频次如下：</w:t>
            </w:r>
          </w:p>
          <w:p>
            <w:pPr>
              <w:pStyle w:val="18"/>
              <w:keepNext w:val="0"/>
              <w:keepLines w:val="0"/>
              <w:pageBreakBefore w:val="0"/>
              <w:kinsoku/>
              <w:wordWrap/>
              <w:overflowPunct w:val="0"/>
              <w:topLinePunct w:val="0"/>
              <w:autoSpaceDE w:val="0"/>
              <w:autoSpaceDN w:val="0"/>
              <w:bidi w:val="0"/>
              <w:adjustRightInd w:val="0"/>
              <w:snapToGrid w:val="0"/>
              <w:rPr>
                <w:szCs w:val="20"/>
                <w:highlight w:val="none"/>
                <w:lang w:eastAsia="zh-CN"/>
              </w:rPr>
            </w:pPr>
            <w:r>
              <w:rPr>
                <w:rFonts w:hint="eastAsia"/>
                <w:highlight w:val="none"/>
                <w:lang w:eastAsia="zh-CN"/>
              </w:rPr>
              <w:t>表</w:t>
            </w:r>
            <w:r>
              <w:rPr>
                <w:highlight w:val="none"/>
                <w:lang w:eastAsia="zh-CN"/>
              </w:rPr>
              <w:t xml:space="preserve"> 4-</w:t>
            </w:r>
            <w:r>
              <w:rPr>
                <w:rFonts w:hint="eastAsia"/>
                <w:highlight w:val="none"/>
                <w:lang w:eastAsia="zh-CN"/>
              </w:rPr>
              <w:t xml:space="preserve">7 </w:t>
            </w:r>
            <w:r>
              <w:rPr>
                <w:highlight w:val="none"/>
                <w:lang w:eastAsia="zh-CN"/>
              </w:rPr>
              <w:t xml:space="preserve"> 项目废水排污口监测指标及最低监测频次</w:t>
            </w:r>
          </w:p>
          <w:tbl>
            <w:tblPr>
              <w:tblStyle w:val="21"/>
              <w:tblW w:w="7818" w:type="dxa"/>
              <w:tblInd w:w="10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17"/>
              <w:gridCol w:w="1587"/>
              <w:gridCol w:w="2858"/>
              <w:gridCol w:w="185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3" w:hRule="atLeast"/>
              </w:trPr>
              <w:tc>
                <w:tcPr>
                  <w:tcW w:w="1517" w:type="dxa"/>
                  <w:tcBorders>
                    <w:bottom w:val="single" w:color="auto" w:sz="4"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监测点位</w:t>
                  </w:r>
                </w:p>
              </w:tc>
              <w:tc>
                <w:tcPr>
                  <w:tcW w:w="1587" w:type="dxa"/>
                  <w:tcBorders>
                    <w:bottom w:val="single" w:color="auto" w:sz="4"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监测指标</w:t>
                  </w:r>
                </w:p>
              </w:tc>
              <w:tc>
                <w:tcPr>
                  <w:tcW w:w="2858" w:type="dxa"/>
                  <w:tcBorders>
                    <w:bottom w:val="single" w:color="auto" w:sz="4"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执行标准</w:t>
                  </w:r>
                </w:p>
              </w:tc>
              <w:tc>
                <w:tcPr>
                  <w:tcW w:w="18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最低监测频次（间</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接排放）</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7" w:hRule="atLeast"/>
              </w:trPr>
              <w:tc>
                <w:tcPr>
                  <w:tcW w:w="1517" w:type="dxa"/>
                  <w:tcBorders>
                    <w:top w:val="single" w:color="auto" w:sz="4" w:space="0"/>
                    <w:left w:val="single" w:color="auto" w:sz="4" w:space="0"/>
                    <w:bottom w:val="single" w:color="auto" w:sz="4"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污水总排放口</w:t>
                  </w:r>
                </w:p>
              </w:tc>
              <w:tc>
                <w:tcPr>
                  <w:tcW w:w="1587" w:type="dxa"/>
                  <w:tcBorders>
                    <w:top w:val="single" w:color="auto" w:sz="4" w:space="0"/>
                    <w:bottom w:val="single" w:color="auto" w:sz="4"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pH、COD、BOD</w:t>
                  </w:r>
                  <w:r>
                    <w:rPr>
                      <w:highlight w:val="none"/>
                      <w:vertAlign w:val="subscript"/>
                    </w:rPr>
                    <w:t>5</w:t>
                  </w:r>
                  <w:r>
                    <w:rPr>
                      <w:highlight w:val="none"/>
                    </w:rPr>
                    <w:t>、SS、NH</w:t>
                  </w:r>
                  <w:r>
                    <w:rPr>
                      <w:highlight w:val="none"/>
                      <w:vertAlign w:val="subscript"/>
                    </w:rPr>
                    <w:t>3</w:t>
                  </w:r>
                  <w:r>
                    <w:rPr>
                      <w:highlight w:val="none"/>
                    </w:rPr>
                    <w:t>-N</w:t>
                  </w:r>
                  <w:r>
                    <w:rPr>
                      <w:rFonts w:hint="eastAsia"/>
                      <w:highlight w:val="none"/>
                    </w:rPr>
                    <w:t>、</w:t>
                  </w:r>
                  <w:r>
                    <w:rPr>
                      <w:highlight w:val="none"/>
                    </w:rPr>
                    <w:t>TP、TN</w:t>
                  </w:r>
                  <w:r>
                    <w:rPr>
                      <w:rFonts w:hint="eastAsia"/>
                      <w:highlight w:val="none"/>
                    </w:rPr>
                    <w:t>、动植物油</w:t>
                  </w:r>
                </w:p>
              </w:tc>
              <w:tc>
                <w:tcPr>
                  <w:tcW w:w="2858" w:type="dxa"/>
                  <w:tcBorders>
                    <w:top w:val="single" w:color="auto" w:sz="4" w:space="0"/>
                    <w:bottom w:val="single" w:color="auto" w:sz="4" w:space="0"/>
                    <w:right w:val="single" w:color="auto" w:sz="4"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《污水综合排放标准》</w:t>
                  </w:r>
                </w:p>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（GB8978-1996）三级标准、</w:t>
                  </w:r>
                </w:p>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合肥西部组团污水处理厂接管</w:t>
                  </w:r>
                </w:p>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要求</w:t>
                  </w:r>
                </w:p>
              </w:tc>
              <w:tc>
                <w:tcPr>
                  <w:tcW w:w="1856" w:type="dxa"/>
                  <w:tcBorders>
                    <w:left w:val="single" w:color="auto" w:sz="4"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次/</w:t>
                  </w:r>
                  <w:r>
                    <w:rPr>
                      <w:rFonts w:hint="eastAsia"/>
                      <w:color w:val="000000" w:themeColor="text1"/>
                      <w:highlight w:val="none"/>
                      <w14:textFill>
                        <w14:solidFill>
                          <w14:schemeClr w14:val="tx1"/>
                        </w14:solidFill>
                      </w14:textFill>
                    </w:rPr>
                    <w:t>年</w:t>
                  </w:r>
                </w:p>
              </w:tc>
            </w:tr>
          </w:tbl>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4、地表水环境影响评价结论</w:t>
            </w:r>
          </w:p>
          <w:p>
            <w:pPr>
              <w:pStyle w:val="8"/>
              <w:keepNext w:val="0"/>
              <w:keepLines w:val="0"/>
              <w:pageBreakBefore w:val="0"/>
              <w:kinsoku/>
              <w:wordWrap/>
              <w:overflowPunct w:val="0"/>
              <w:topLinePunct w:val="0"/>
              <w:autoSpaceDE w:val="0"/>
              <w:autoSpaceDN w:val="0"/>
              <w:bidi w:val="0"/>
              <w:adjustRightInd w:val="0"/>
              <w:snapToGrid w:val="0"/>
              <w:ind w:firstLine="480"/>
              <w:rPr>
                <w:b/>
                <w:bCs/>
                <w:highlight w:val="none"/>
                <w:lang w:eastAsia="zh-CN"/>
              </w:rPr>
            </w:pPr>
            <w:r>
              <w:rPr>
                <w:rFonts w:hint="eastAsia"/>
                <w:highlight w:val="none"/>
                <w:lang w:eastAsia="zh-CN"/>
              </w:rPr>
              <w:t>本项目营运期外排废水主要为生活污水、餐饮废水和未可预见废水。餐饮废水经过油水分离器预处理后和生活污水、未可预见废水进入化粪池处理后，排入污水总排口，接入市政管网，项目废水经预处理后满足合肥西部组团污水处理厂接管标准的要求。因此，项目对地表水环境的影响可以接受。</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三、噪声</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1、噪声污染源</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本项目噪声主要来源于驻车执行器装配线设备，采取隔声、减振等降噪措施，可有效控制噪声影响。</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本项目的高噪声设备其噪声源取值参考同类项目，为75dB（A），为了减轻对周围声环境的不利影响，需对高噪声设备采取相应的降噪治理措施。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1）设备选型时采用性能先进、高效节能、低噪设备，并加强对设备的维护管理，从源头上控制噪声的产生；合理布局，将高噪声设备设置在厂房内，配置减振垫，通过减振垫、厂房隔声和距离衰减，减少对周围环境的影响。</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（2）对产生机械噪声的设备，在设备与基础之间安装减震装置；</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（3）对高噪声设备增设隔声罩。</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2、环境影响预测</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采用《环境影响评价技术导则 声环境》（HJ2.4－2021）中的工业噪声预测模式。根据预测点和声源之间的距离r，根据声源发出声波的波阵面，将声源划分为点声源、线声源、面声源后进行预测。在本次预测中，将噪声源划分为点声源进行预测。项目对声环境产生影响的主要噪声源，按其辐射噪声和结构特点，安装位置的环境条件以及噪声源至预测点的距离等因素进行判断，逐一计算某一声源在预测点上产生的声压级（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声源位于室内，室内声源可采用等效室外声源声功率级法进行计算。设靠近开口处（或窗户）室内、室外某倍频带的声压级或A声级分别为L</w:t>
            </w:r>
            <w:r>
              <w:rPr>
                <w:rFonts w:hint="eastAsia"/>
                <w:highlight w:val="none"/>
                <w:vertAlign w:val="subscript"/>
                <w:lang w:eastAsia="zh-CN"/>
              </w:rPr>
              <w:t>p1</w:t>
            </w:r>
            <w:r>
              <w:rPr>
                <w:rFonts w:hint="eastAsia"/>
                <w:highlight w:val="none"/>
                <w:lang w:eastAsia="zh-CN"/>
              </w:rPr>
              <w:t>和L</w:t>
            </w:r>
            <w:r>
              <w:rPr>
                <w:rFonts w:hint="eastAsia"/>
                <w:highlight w:val="none"/>
                <w:vertAlign w:val="subscript"/>
                <w:lang w:eastAsia="zh-CN"/>
              </w:rPr>
              <w:t>p2</w:t>
            </w:r>
            <w:r>
              <w:rPr>
                <w:rFonts w:hint="eastAsia"/>
                <w:highlight w:val="none"/>
                <w:lang w:eastAsia="zh-CN"/>
              </w:rPr>
              <w:t>。若声源所在室内声场为近似扩散声场，则室外的倍频带声压级可近似求出：</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rPr>
            </w:pPr>
            <m:oMathPara>
              <m:oMath>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P2</m:t>
                    </m:r>
                    <m:ctrlPr>
                      <w:rPr>
                        <w:rFonts w:ascii="Cambria Math" w:hAnsi="Cambria Math"/>
                        <w:highlight w:val="none"/>
                        <w:lang w:eastAsia="zh-CN"/>
                      </w:rPr>
                    </m:ctrlPr>
                  </m:sub>
                </m:sSub>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P1</m:t>
                    </m:r>
                    <m:ctrlPr>
                      <w:rPr>
                        <w:rFonts w:ascii="Cambria Math" w:hAnsi="Cambria Math"/>
                        <w:highlight w:val="none"/>
                        <w:lang w:eastAsia="zh-CN"/>
                      </w:rPr>
                    </m:ctrlPr>
                  </m:sub>
                </m:sSub>
                <m:r>
                  <m:rPr>
                    <m:sty m:val="p"/>
                  </m:rPr>
                  <w:rPr>
                    <w:rFonts w:ascii="Cambria Math" w:hAnsi="Cambria Math"/>
                    <w:highlight w:val="none"/>
                    <w:lang w:eastAsia="zh-CN"/>
                  </w:rPr>
                  <m:t>−</m:t>
                </m:r>
                <m:d>
                  <m:dPr>
                    <m:ctrlPr>
                      <w:rPr>
                        <w:rFonts w:ascii="Cambria Math" w:hAnsi="Cambria Math"/>
                        <w:highlight w:val="none"/>
                        <w:lang w:eastAsia="zh-CN"/>
                      </w:rPr>
                    </m:ctrlPr>
                  </m:dPr>
                  <m:e>
                    <m:r>
                      <m:rPr>
                        <m:sty m:val="p"/>
                      </m:rPr>
                      <w:rPr>
                        <w:rFonts w:ascii="Cambria Math" w:hAnsi="Cambria Math"/>
                        <w:highlight w:val="none"/>
                        <w:lang w:eastAsia="zh-CN"/>
                      </w:rPr>
                      <m:t>TL</m:t>
                    </m:r>
                    <m:r>
                      <m:rPr>
                        <m:sty m:val="p"/>
                      </m:rPr>
                      <w:rPr>
                        <w:rFonts w:ascii="Cambria Math" w:hAnsi="Cambria Math"/>
                        <w:highlight w:val="none"/>
                      </w:rPr>
                      <m:t>+</m:t>
                    </m:r>
                    <m:r>
                      <m:rPr>
                        <m:sty m:val="p"/>
                      </m:rPr>
                      <w:rPr>
                        <w:rFonts w:ascii="Cambria Math" w:hAnsi="Cambria Math"/>
                        <w:highlight w:val="none"/>
                        <w:lang w:eastAsia="zh-CN"/>
                      </w:rPr>
                      <m:t>6</m:t>
                    </m:r>
                    <m:ctrlPr>
                      <w:rPr>
                        <w:rFonts w:ascii="Cambria Math" w:hAnsi="Cambria Math"/>
                        <w:highlight w:val="none"/>
                        <w:lang w:eastAsia="zh-CN"/>
                      </w:rPr>
                    </m:ctrlPr>
                  </m:e>
                </m:d>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式中：L</w:t>
            </w:r>
            <w:r>
              <w:rPr>
                <w:highlight w:val="none"/>
                <w:vertAlign w:val="subscript"/>
                <w:lang w:eastAsia="zh-CN"/>
              </w:rPr>
              <w:t>p1</w:t>
            </w:r>
            <w:r>
              <w:rPr>
                <w:highlight w:val="none"/>
                <w:lang w:eastAsia="zh-CN"/>
              </w:rPr>
              <w:t>——靠近开口处（或窗户）室内某倍频带的声压级或A声级，dB；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L</w:t>
            </w:r>
            <w:r>
              <w:rPr>
                <w:highlight w:val="none"/>
                <w:vertAlign w:val="subscript"/>
                <w:lang w:eastAsia="zh-CN"/>
              </w:rPr>
              <w:t>p2</w:t>
            </w:r>
            <w:r>
              <w:rPr>
                <w:highlight w:val="none"/>
                <w:lang w:eastAsia="zh-CN"/>
              </w:rPr>
              <w:t>——靠近开口处（或窗户）室外某倍频带的声压级或A声级，dB；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TL——隔墙（或窗户）倍频带或A声级的隔声量，dB。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1）室内声源等效室外声源：</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①如图所示，首先计算出某个室内靠近围护结构处的倍频带声压级或A声级：</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rPr>
            </w:pPr>
            <m:oMathPara>
              <m:oMath>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P1</m:t>
                    </m:r>
                    <m:ctrlPr>
                      <w:rPr>
                        <w:rFonts w:ascii="Cambria Math" w:hAnsi="Cambria Math"/>
                        <w:highlight w:val="none"/>
                        <w:lang w:eastAsia="zh-CN"/>
                      </w:rPr>
                    </m:ctrlPr>
                  </m:sub>
                </m:sSub>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W</m:t>
                    </m:r>
                    <m:ctrlPr>
                      <w:rPr>
                        <w:rFonts w:ascii="Cambria Math" w:hAnsi="Cambria Math"/>
                        <w:highlight w:val="none"/>
                        <w:lang w:eastAsia="zh-CN"/>
                      </w:rPr>
                    </m:ctrlPr>
                  </m:sub>
                </m:sSub>
                <m:r>
                  <m:rPr>
                    <m:sty m:val="p"/>
                  </m:rPr>
                  <w:rPr>
                    <w:rFonts w:ascii="Cambria Math" w:hAnsi="Cambria Math"/>
                    <w:highlight w:val="none"/>
                  </w:rPr>
                  <m:t>+</m:t>
                </m:r>
                <m:r>
                  <m:rPr>
                    <m:sty m:val="p"/>
                  </m:rPr>
                  <w:rPr>
                    <w:rFonts w:ascii="Cambria Math" w:hAnsi="Cambria Math"/>
                    <w:highlight w:val="none"/>
                    <w:lang w:eastAsia="zh-CN"/>
                  </w:rPr>
                  <m:t>10lg</m:t>
                </m:r>
                <m:d>
                  <m:dPr>
                    <m:ctrlPr>
                      <w:rPr>
                        <w:rFonts w:ascii="Cambria Math" w:hAnsi="Cambria Math"/>
                        <w:highlight w:val="none"/>
                        <w:lang w:eastAsia="zh-CN"/>
                      </w:rPr>
                    </m:ctrlPr>
                  </m:dPr>
                  <m:e>
                    <m:f>
                      <m:fPr>
                        <m:ctrlPr>
                          <w:rPr>
                            <w:rFonts w:ascii="Cambria Math" w:hAnsi="Cambria Math"/>
                            <w:highlight w:val="none"/>
                            <w:lang w:eastAsia="zh-CN"/>
                          </w:rPr>
                        </m:ctrlPr>
                      </m:fPr>
                      <m:num>
                        <m:r>
                          <m:rPr>
                            <m:sty m:val="p"/>
                          </m:rPr>
                          <w:rPr>
                            <w:rFonts w:ascii="Cambria Math" w:hAnsi="Cambria Math"/>
                            <w:highlight w:val="none"/>
                            <w:lang w:eastAsia="zh-CN"/>
                          </w:rPr>
                          <m:t>Q</m:t>
                        </m:r>
                        <m:ctrlPr>
                          <w:rPr>
                            <w:rFonts w:ascii="Cambria Math" w:hAnsi="Cambria Math"/>
                            <w:highlight w:val="none"/>
                            <w:lang w:eastAsia="zh-CN"/>
                          </w:rPr>
                        </m:ctrlPr>
                      </m:num>
                      <m:den>
                        <m:r>
                          <m:rPr>
                            <m:sty m:val="p"/>
                          </m:rPr>
                          <w:rPr>
                            <w:rFonts w:ascii="Cambria Math" w:hAnsi="Cambria Math"/>
                            <w:highlight w:val="none"/>
                            <w:lang w:eastAsia="zh-CN"/>
                          </w:rPr>
                          <m:t>4</m:t>
                        </m:r>
                        <m:r>
                          <m:rPr>
                            <m:sty m:val="p"/>
                          </m:rPr>
                          <w:rPr>
                            <w:rFonts w:ascii="Cambria Math" w:hAnsi="Cambria Math"/>
                            <w:highlight w:val="none"/>
                          </w:rPr>
                          <m:t>π</m:t>
                        </m:r>
                        <m:sSup>
                          <m:sSupPr>
                            <m:ctrlPr>
                              <w:rPr>
                                <w:rFonts w:ascii="Cambria Math" w:hAnsi="Cambria Math"/>
                                <w:highlight w:val="none"/>
                              </w:rPr>
                            </m:ctrlPr>
                          </m:sSupPr>
                          <m:e>
                            <m:r>
                              <m:rPr>
                                <m:sty m:val="p"/>
                              </m:rPr>
                              <w:rPr>
                                <w:rFonts w:ascii="Cambria Math" w:hAnsi="Cambria Math"/>
                                <w:highlight w:val="none"/>
                                <w:lang w:eastAsia="zh-CN"/>
                              </w:rPr>
                              <m:t>D</m:t>
                            </m:r>
                            <m:ctrlPr>
                              <w:rPr>
                                <w:rFonts w:ascii="Cambria Math" w:hAnsi="Cambria Math"/>
                                <w:highlight w:val="none"/>
                              </w:rPr>
                            </m:ctrlPr>
                          </m:e>
                          <m:sup>
                            <m:r>
                              <m:rPr>
                                <m:sty m:val="p"/>
                              </m:rPr>
                              <w:rPr>
                                <w:rFonts w:ascii="Cambria Math" w:hAnsi="Cambria Math"/>
                                <w:highlight w:val="none"/>
                                <w:lang w:eastAsia="zh-CN"/>
                              </w:rPr>
                              <m:t>2</m:t>
                            </m:r>
                            <m:ctrlPr>
                              <w:rPr>
                                <w:rFonts w:ascii="Cambria Math" w:hAnsi="Cambria Math"/>
                                <w:highlight w:val="none"/>
                              </w:rPr>
                            </m:ctrlPr>
                          </m:sup>
                        </m:sSup>
                        <m:ctrlPr>
                          <w:rPr>
                            <w:rFonts w:ascii="Cambria Math" w:hAnsi="Cambria Math"/>
                            <w:highlight w:val="none"/>
                            <w:lang w:eastAsia="zh-CN"/>
                          </w:rPr>
                        </m:ctrlPr>
                      </m:den>
                    </m:f>
                    <m:r>
                      <m:rPr>
                        <m:sty m:val="p"/>
                      </m:rPr>
                      <w:rPr>
                        <w:rFonts w:ascii="Cambria Math" w:hAnsi="Cambria Math"/>
                        <w:highlight w:val="none"/>
                        <w:lang w:eastAsia="zh-CN"/>
                      </w:rPr>
                      <m:t>+</m:t>
                    </m:r>
                    <m:f>
                      <m:fPr>
                        <m:ctrlPr>
                          <w:rPr>
                            <w:rFonts w:ascii="Cambria Math" w:hAnsi="Cambria Math"/>
                            <w:highlight w:val="none"/>
                            <w:lang w:eastAsia="zh-CN"/>
                          </w:rPr>
                        </m:ctrlPr>
                      </m:fPr>
                      <m:num>
                        <m:r>
                          <m:rPr>
                            <m:sty m:val="p"/>
                          </m:rPr>
                          <w:rPr>
                            <w:rFonts w:ascii="Cambria Math" w:hAnsi="Cambria Math"/>
                            <w:highlight w:val="none"/>
                            <w:lang w:eastAsia="zh-CN"/>
                          </w:rPr>
                          <m:t>4</m:t>
                        </m:r>
                        <m:ctrlPr>
                          <w:rPr>
                            <w:rFonts w:ascii="Cambria Math" w:hAnsi="Cambria Math"/>
                            <w:highlight w:val="none"/>
                            <w:lang w:eastAsia="zh-CN"/>
                          </w:rPr>
                        </m:ctrlPr>
                      </m:num>
                      <m:den>
                        <m:r>
                          <m:rPr>
                            <m:sty m:val="p"/>
                          </m:rPr>
                          <w:rPr>
                            <w:rFonts w:ascii="Cambria Math" w:hAnsi="Cambria Math"/>
                            <w:highlight w:val="none"/>
                            <w:lang w:eastAsia="zh-CN"/>
                          </w:rPr>
                          <m:t>R</m:t>
                        </m:r>
                        <m:ctrlPr>
                          <w:rPr>
                            <w:rFonts w:ascii="Cambria Math" w:hAnsi="Cambria Math"/>
                            <w:highlight w:val="none"/>
                            <w:lang w:eastAsia="zh-CN"/>
                          </w:rPr>
                        </m:ctrlPr>
                      </m:den>
                    </m:f>
                    <m:ctrlPr>
                      <w:rPr>
                        <w:rFonts w:ascii="Cambria Math" w:hAnsi="Cambria Math"/>
                        <w:highlight w:val="none"/>
                        <w:lang w:eastAsia="zh-CN"/>
                      </w:rPr>
                    </m:ctrlPr>
                  </m:e>
                </m:d>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式中：L</w:t>
            </w:r>
            <w:r>
              <w:rPr>
                <w:highlight w:val="none"/>
                <w:vertAlign w:val="subscript"/>
                <w:lang w:eastAsia="zh-CN"/>
              </w:rPr>
              <w:t>p1</w:t>
            </w:r>
            <w:r>
              <w:rPr>
                <w:highlight w:val="none"/>
                <w:lang w:eastAsia="zh-CN"/>
              </w:rPr>
              <w:t>—为某个室内声源在靠近围护结构处产生的</w:t>
            </w:r>
            <w:r>
              <w:rPr>
                <w:rFonts w:hint="eastAsia"/>
                <w:highlight w:val="none"/>
                <w:lang w:eastAsia="zh-CN"/>
              </w:rPr>
              <w:t>某</w:t>
            </w:r>
            <w:r>
              <w:rPr>
                <w:highlight w:val="none"/>
                <w:lang w:eastAsia="zh-CN"/>
              </w:rPr>
              <w:t>倍频带声压级或A声级，dB；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Lw—为某个声源的A声级（A计权或倍频带），dB；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D</w:t>
            </w:r>
            <w:r>
              <w:rPr>
                <w:highlight w:val="none"/>
                <w:lang w:eastAsia="zh-CN"/>
              </w:rPr>
              <w:t>—为室内某个声源与靠近围护结构处的距离，m；</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R—房间常数，m</w:t>
            </w:r>
            <w:r>
              <w:rPr>
                <w:highlight w:val="none"/>
                <w:vertAlign w:val="superscript"/>
                <w:lang w:eastAsia="zh-CN"/>
              </w:rPr>
              <w:t>2</w:t>
            </w:r>
            <w:r>
              <w:rPr>
                <w:highlight w:val="none"/>
                <w:lang w:eastAsia="zh-CN"/>
              </w:rPr>
              <w:t>；R=S</w:t>
            </w:r>
            <w:r>
              <w:rPr>
                <w:highlight w:val="none"/>
              </w:rPr>
              <w:t>α</w:t>
            </w:r>
            <w:r>
              <w:rPr>
                <w:highlight w:val="none"/>
                <w:lang w:eastAsia="zh-CN"/>
              </w:rPr>
              <w:t>/(1-</w:t>
            </w:r>
            <w:r>
              <w:rPr>
                <w:highlight w:val="none"/>
              </w:rPr>
              <w:t>α</w:t>
            </w:r>
            <w:r>
              <w:rPr>
                <w:highlight w:val="none"/>
                <w:lang w:eastAsia="zh-CN"/>
              </w:rPr>
              <w:t>)，</w:t>
            </w:r>
            <w:r>
              <w:rPr>
                <w:rFonts w:hint="eastAsia"/>
                <w:highlight w:val="none"/>
                <w:lang w:eastAsia="zh-CN"/>
              </w:rPr>
              <w:t>S</w:t>
            </w:r>
            <w:r>
              <w:rPr>
                <w:highlight w:val="none"/>
                <w:lang w:eastAsia="zh-CN"/>
              </w:rPr>
              <w:t>为房间内表面积，</w:t>
            </w:r>
            <w:r>
              <w:rPr>
                <w:highlight w:val="none"/>
              </w:rPr>
              <w:t>α</w:t>
            </w:r>
            <w:r>
              <w:rPr>
                <w:highlight w:val="none"/>
                <w:lang w:eastAsia="zh-CN"/>
              </w:rPr>
              <w:t>为平均吸声系数。</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Q—方向因子，无量纲值。通常对无指向性声源，当声源放在房间中心时，Q=1；当放在一面墙的中心时，Q=2；当放在两面墙夹角时，Q=4；当放在三面墙夹角处时，Q=8。</w:t>
            </w:r>
          </w:p>
          <w:p>
            <w:pPr>
              <w:pStyle w:val="8"/>
              <w:keepNext w:val="0"/>
              <w:keepLines w:val="0"/>
              <w:pageBreakBefore w:val="0"/>
              <w:kinsoku/>
              <w:wordWrap/>
              <w:overflowPunct w:val="0"/>
              <w:topLinePunct w:val="0"/>
              <w:autoSpaceDE w:val="0"/>
              <w:autoSpaceDN w:val="0"/>
              <w:bidi w:val="0"/>
              <w:adjustRightInd w:val="0"/>
              <w:snapToGrid w:val="0"/>
              <w:ind w:firstLine="480"/>
              <w:jc w:val="center"/>
              <w:rPr>
                <w:highlight w:val="none"/>
                <w:lang w:val="zh-CN"/>
              </w:rPr>
            </w:pPr>
            <w:r>
              <w:rPr>
                <w:highlight w:val="none"/>
              </w:rPr>
              <w:drawing>
                <wp:inline distT="0" distB="0" distL="114300" distR="114300">
                  <wp:extent cx="1837055" cy="724535"/>
                  <wp:effectExtent l="0" t="0" r="10795" b="18415"/>
                  <wp:docPr id="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9"/>
                          <pic:cNvPicPr>
                            <a:picLocks noChangeAspect="1"/>
                          </pic:cNvPicPr>
                        </pic:nvPicPr>
                        <pic:blipFill>
                          <a:blip r:embed="rId32"/>
                          <a:stretch>
                            <a:fillRect/>
                          </a:stretch>
                        </pic:blipFill>
                        <pic:spPr>
                          <a:xfrm>
                            <a:off x="0" y="0"/>
                            <a:ext cx="1837055" cy="724535"/>
                          </a:xfrm>
                          <a:prstGeom prst="rect">
                            <a:avLst/>
                          </a:prstGeom>
                          <a:noFill/>
                          <a:ln>
                            <a:noFill/>
                          </a:ln>
                        </pic:spPr>
                      </pic:pic>
                    </a:graphicData>
                  </a:graphic>
                </wp:inline>
              </w:drawing>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highlight w:val="none"/>
                <w:lang w:eastAsia="zh-CN"/>
              </w:rPr>
              <w:t>图4</w:t>
            </w:r>
            <w:r>
              <w:rPr>
                <w:rFonts w:hint="eastAsia"/>
                <w:highlight w:val="none"/>
                <w:lang w:eastAsia="zh-CN"/>
              </w:rPr>
              <w:t xml:space="preserve">-1  </w:t>
            </w:r>
            <w:r>
              <w:rPr>
                <w:highlight w:val="none"/>
                <w:lang w:eastAsia="zh-CN"/>
              </w:rPr>
              <w:t>室内声源等效为室外声源示意图</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②算出所有室内声源在靠近围护结构处产生的i倍频带叠加声压级：</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rPr>
            </w:pPr>
            <m:oMathPara>
              <m:oMath>
                <m:sSub>
                  <m:sSubPr>
                    <m:ctrlPr>
                      <w:rPr>
                        <w:rFonts w:ascii="Cambria Math" w:hAnsi="Cambria Math"/>
                        <w:highlight w:val="none"/>
                        <w:lang w:val="zh-CN" w:eastAsia="zh-CN"/>
                      </w:rPr>
                    </m:ctrlPr>
                  </m:sSubPr>
                  <m:e>
                    <m:r>
                      <m:rPr>
                        <m:sty m:val="p"/>
                      </m:rPr>
                      <w:rPr>
                        <w:rFonts w:ascii="Cambria Math" w:hAnsi="Cambria Math"/>
                        <w:highlight w:val="none"/>
                        <w:lang w:eastAsia="zh-CN"/>
                      </w:rPr>
                      <m:t>L</m:t>
                    </m:r>
                    <m:ctrlPr>
                      <w:rPr>
                        <w:rFonts w:ascii="Cambria Math" w:hAnsi="Cambria Math"/>
                        <w:highlight w:val="none"/>
                        <w:lang w:val="zh-CN" w:eastAsia="zh-CN"/>
                      </w:rPr>
                    </m:ctrlPr>
                  </m:e>
                  <m:sub>
                    <m:r>
                      <m:rPr>
                        <m:sty m:val="p"/>
                      </m:rPr>
                      <w:rPr>
                        <w:rFonts w:ascii="Cambria Math" w:hAnsi="Cambria Math"/>
                        <w:highlight w:val="none"/>
                        <w:lang w:eastAsia="zh-CN"/>
                      </w:rPr>
                      <m:t>P1i</m:t>
                    </m:r>
                    <m:ctrlPr>
                      <w:rPr>
                        <w:rFonts w:ascii="Cambria Math" w:hAnsi="Cambria Math"/>
                        <w:highlight w:val="none"/>
                        <w:lang w:val="zh-CN" w:eastAsia="zh-CN"/>
                      </w:rPr>
                    </m:ctrlPr>
                  </m:sub>
                </m:sSub>
                <m:d>
                  <m:dPr>
                    <m:ctrlPr>
                      <w:rPr>
                        <w:rFonts w:ascii="Cambria Math" w:hAnsi="Cambria Math"/>
                        <w:highlight w:val="none"/>
                        <w:lang w:val="zh-CN" w:eastAsia="zh-CN"/>
                      </w:rPr>
                    </m:ctrlPr>
                  </m:dPr>
                  <m:e>
                    <m:r>
                      <m:rPr>
                        <m:sty m:val="p"/>
                      </m:rPr>
                      <w:rPr>
                        <w:rFonts w:ascii="Cambria Math" w:hAnsi="Cambria Math"/>
                        <w:highlight w:val="none"/>
                        <w:lang w:eastAsia="zh-CN"/>
                      </w:rPr>
                      <m:t>T</m:t>
                    </m:r>
                    <m:ctrlPr>
                      <w:rPr>
                        <w:rFonts w:ascii="Cambria Math" w:hAnsi="Cambria Math"/>
                        <w:highlight w:val="none"/>
                        <w:lang w:val="zh-CN" w:eastAsia="zh-CN"/>
                      </w:rPr>
                    </m:ctrlPr>
                  </m:e>
                </m:d>
                <m:r>
                  <m:rPr>
                    <m:sty m:val="p"/>
                  </m:rPr>
                  <w:rPr>
                    <w:rFonts w:ascii="Cambria Math" w:hAnsi="Cambria Math"/>
                    <w:highlight w:val="none"/>
                    <w:lang w:val="zh-CN" w:eastAsia="zh-CN"/>
                  </w:rPr>
                  <m:t>=</m:t>
                </m:r>
                <m:r>
                  <m:rPr>
                    <m:sty m:val="p"/>
                  </m:rPr>
                  <w:rPr>
                    <w:rFonts w:ascii="Cambria Math" w:hAnsi="Cambria Math"/>
                    <w:highlight w:val="none"/>
                    <w:lang w:eastAsia="zh-CN"/>
                  </w:rPr>
                  <m:t>10lg</m:t>
                </m:r>
                <m:d>
                  <m:dPr>
                    <m:begChr m:val="["/>
                    <m:endChr m:val="]"/>
                    <m:ctrlPr>
                      <w:rPr>
                        <w:rFonts w:hint="eastAsia" w:ascii="Cambria Math" w:hAnsi="Cambria Math"/>
                        <w:highlight w:val="none"/>
                        <w:lang w:eastAsia="zh-CN"/>
                      </w:rPr>
                    </m:ctrlPr>
                  </m:dPr>
                  <m:e>
                    <m:nary>
                      <m:naryPr>
                        <m:chr m:val="∑"/>
                        <m:limLoc m:val="undOvr"/>
                        <m:ctrlPr>
                          <w:rPr>
                            <w:rFonts w:hint="eastAsia" w:ascii="Cambria Math" w:hAnsi="Cambria Math"/>
                            <w:highlight w:val="none"/>
                            <w:lang w:eastAsia="zh-CN"/>
                          </w:rPr>
                        </m:ctrlPr>
                      </m:naryPr>
                      <m:sub>
                        <m:r>
                          <m:rPr>
                            <m:sty m:val="p"/>
                          </m:rPr>
                          <w:rPr>
                            <w:rFonts w:ascii="Cambria Math" w:hAnsi="Cambria Math"/>
                            <w:highlight w:val="none"/>
                            <w:lang w:eastAsia="zh-CN"/>
                          </w:rPr>
                          <m:t>j=1</m:t>
                        </m:r>
                        <m:ctrlPr>
                          <w:rPr>
                            <w:rFonts w:hint="eastAsia" w:ascii="Cambria Math" w:hAnsi="Cambria Math"/>
                            <w:highlight w:val="none"/>
                            <w:lang w:eastAsia="zh-CN"/>
                          </w:rPr>
                        </m:ctrlPr>
                      </m:sub>
                      <m:sup>
                        <m:r>
                          <m:rPr>
                            <m:sty m:val="p"/>
                          </m:rPr>
                          <w:rPr>
                            <w:rFonts w:ascii="Cambria Math" w:hAnsi="Cambria Math"/>
                            <w:highlight w:val="none"/>
                            <w:lang w:eastAsia="zh-CN"/>
                          </w:rPr>
                          <m:t>N</m:t>
                        </m:r>
                        <m:ctrlPr>
                          <w:rPr>
                            <w:rFonts w:hint="eastAsia" w:ascii="Cambria Math" w:hAnsi="Cambria Math"/>
                            <w:highlight w:val="none"/>
                            <w:lang w:eastAsia="zh-CN"/>
                          </w:rPr>
                        </m:ctrlPr>
                      </m:sup>
                      <m:e>
                        <m:sSup>
                          <m:sSupPr>
                            <m:ctrlPr>
                              <w:rPr>
                                <w:rFonts w:hint="eastAsia" w:ascii="Cambria Math" w:hAnsi="Cambria Math"/>
                                <w:highlight w:val="none"/>
                                <w:lang w:eastAsia="zh-CN"/>
                              </w:rPr>
                            </m:ctrlPr>
                          </m:sSupPr>
                          <m:e>
                            <m:r>
                              <m:rPr>
                                <m:sty m:val="p"/>
                              </m:rPr>
                              <w:rPr>
                                <w:rFonts w:ascii="Cambria Math" w:hAnsi="Cambria Math"/>
                                <w:highlight w:val="none"/>
                                <w:lang w:eastAsia="zh-CN"/>
                              </w:rPr>
                              <m:t>10</m:t>
                            </m:r>
                            <m:ctrlPr>
                              <w:rPr>
                                <w:rFonts w:hint="eastAsia" w:ascii="Cambria Math" w:hAnsi="Cambria Math"/>
                                <w:highlight w:val="none"/>
                                <w:lang w:eastAsia="zh-CN"/>
                              </w:rPr>
                            </m:ctrlPr>
                          </m:e>
                          <m:sup>
                            <m:r>
                              <m:rPr>
                                <m:sty m:val="p"/>
                              </m:rPr>
                              <w:rPr>
                                <w:rFonts w:ascii="Cambria Math" w:hAnsi="Cambria Math"/>
                                <w:highlight w:val="none"/>
                                <w:lang w:eastAsia="zh-CN"/>
                              </w:rPr>
                              <m:t>0.1</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P1ij</m:t>
                                </m:r>
                                <m:ctrlPr>
                                  <w:rPr>
                                    <w:rFonts w:ascii="Cambria Math" w:hAnsi="Cambria Math"/>
                                    <w:highlight w:val="none"/>
                                    <w:lang w:eastAsia="zh-CN"/>
                                  </w:rPr>
                                </m:ctrlPr>
                              </m:sub>
                            </m:sSub>
                            <m:ctrlPr>
                              <w:rPr>
                                <w:rFonts w:hint="eastAsia" w:ascii="Cambria Math" w:hAnsi="Cambria Math"/>
                                <w:highlight w:val="none"/>
                                <w:lang w:eastAsia="zh-CN"/>
                              </w:rPr>
                            </m:ctrlPr>
                          </m:sup>
                        </m:sSup>
                        <m:ctrlPr>
                          <w:rPr>
                            <w:rFonts w:hint="eastAsia" w:ascii="Cambria Math" w:hAnsi="Cambria Math"/>
                            <w:highlight w:val="none"/>
                            <w:lang w:eastAsia="zh-CN"/>
                          </w:rPr>
                        </m:ctrlPr>
                      </m:e>
                    </m:nary>
                    <m:ctrlPr>
                      <w:rPr>
                        <w:rFonts w:hint="eastAsia" w:ascii="Cambria Math" w:hAnsi="Cambria Math"/>
                        <w:highlight w:val="none"/>
                        <w:lang w:eastAsia="zh-CN"/>
                      </w:rPr>
                    </m:ctrlPr>
                  </m:e>
                </m:d>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式中：Lp1i(T)—靠近围护结构处室内N个声源i倍频带的叠加声压级，dB；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Lp1ij—室内j声源i倍频带的声压级，dB；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N—室内声源总数</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在室内近似为扩散声场时，按③中公式计算出靠近室外围护结构处的声压级。</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③计算出室外靠近围护结构处的声压级：</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rPr>
            </w:pPr>
            <m:oMathPara>
              <m:oMath>
                <m:sSub>
                  <m:sSubPr>
                    <m:ctrlPr>
                      <w:rPr>
                        <w:rFonts w:ascii="Cambria Math" w:hAnsi="Cambria Math"/>
                        <w:highlight w:val="none"/>
                      </w:rPr>
                    </m:ctrlPr>
                  </m:sSubPr>
                  <m:e>
                    <m:r>
                      <m:rPr>
                        <m:sty m:val="p"/>
                      </m:rPr>
                      <w:rPr>
                        <w:rFonts w:ascii="Cambria Math" w:hAnsi="Cambria Math"/>
                        <w:highlight w:val="none"/>
                        <w:lang w:eastAsia="zh-CN"/>
                      </w:rPr>
                      <m:t>L</m:t>
                    </m:r>
                    <m:ctrlPr>
                      <w:rPr>
                        <w:rFonts w:ascii="Cambria Math" w:hAnsi="Cambria Math"/>
                        <w:highlight w:val="none"/>
                      </w:rPr>
                    </m:ctrlPr>
                  </m:e>
                  <m:sub>
                    <m:r>
                      <m:rPr>
                        <m:sty m:val="p"/>
                      </m:rPr>
                      <w:rPr>
                        <w:rFonts w:ascii="Cambria Math" w:hAnsi="Cambria Math"/>
                        <w:highlight w:val="none"/>
                        <w:lang w:eastAsia="zh-CN"/>
                      </w:rPr>
                      <m:t>P2i</m:t>
                    </m:r>
                    <m:ctrlPr>
                      <w:rPr>
                        <w:rFonts w:ascii="Cambria Math" w:hAnsi="Cambria Math"/>
                        <w:highlight w:val="none"/>
                      </w:rPr>
                    </m:ctrlPr>
                  </m:sub>
                </m:sSub>
                <m:d>
                  <m:dPr>
                    <m:ctrlPr>
                      <w:rPr>
                        <w:rFonts w:ascii="Cambria Math" w:hAnsi="Cambria Math"/>
                        <w:highlight w:val="none"/>
                      </w:rPr>
                    </m:ctrlPr>
                  </m:dPr>
                  <m:e>
                    <m:r>
                      <m:rPr>
                        <m:sty m:val="p"/>
                      </m:rPr>
                      <w:rPr>
                        <w:rFonts w:ascii="Cambria Math" w:hAnsi="Cambria Math"/>
                        <w:highlight w:val="none"/>
                        <w:lang w:eastAsia="zh-CN"/>
                      </w:rPr>
                      <m:t>T</m:t>
                    </m:r>
                    <m:ctrlPr>
                      <w:rPr>
                        <w:rFonts w:ascii="Cambria Math" w:hAnsi="Cambria Math"/>
                        <w:highlight w:val="none"/>
                      </w:rPr>
                    </m:ctrlPr>
                  </m:e>
                </m:d>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P1i</m:t>
                    </m:r>
                    <m:ctrlPr>
                      <w:rPr>
                        <w:rFonts w:ascii="Cambria Math" w:hAnsi="Cambria Math"/>
                        <w:highlight w:val="none"/>
                        <w:lang w:eastAsia="zh-CN"/>
                      </w:rPr>
                    </m:ctrlPr>
                  </m:sub>
                </m:sSub>
                <m:d>
                  <m:dPr>
                    <m:ctrlPr>
                      <w:rPr>
                        <w:rFonts w:ascii="Cambria Math" w:hAnsi="Cambria Math"/>
                        <w:highlight w:val="none"/>
                        <w:lang w:eastAsia="zh-CN"/>
                      </w:rPr>
                    </m:ctrlPr>
                  </m:dPr>
                  <m:e>
                    <m:r>
                      <m:rPr>
                        <m:sty m:val="p"/>
                      </m:rPr>
                      <w:rPr>
                        <w:rFonts w:ascii="Cambria Math" w:hAnsi="Cambria Math"/>
                        <w:highlight w:val="none"/>
                        <w:lang w:eastAsia="zh-CN"/>
                      </w:rPr>
                      <m:t>T</m:t>
                    </m:r>
                    <m:ctrlPr>
                      <w:rPr>
                        <w:rFonts w:ascii="Cambria Math" w:hAnsi="Cambria Math"/>
                        <w:highlight w:val="none"/>
                        <w:lang w:eastAsia="zh-CN"/>
                      </w:rPr>
                    </m:ctrlPr>
                  </m:e>
                </m:d>
                <m:r>
                  <m:rPr>
                    <m:sty m:val="p"/>
                  </m:rPr>
                  <w:rPr>
                    <w:rFonts w:ascii="Cambria Math" w:hAnsi="Cambria Math"/>
                    <w:highlight w:val="none"/>
                    <w:lang w:eastAsia="zh-CN"/>
                  </w:rPr>
                  <m:t>−</m:t>
                </m:r>
                <m:d>
                  <m:dPr>
                    <m:ctrlPr>
                      <w:rPr>
                        <w:rFonts w:ascii="Cambria Math" w:hAnsi="Cambria Math"/>
                        <w:highlight w:val="none"/>
                        <w:lang w:eastAsia="zh-CN"/>
                      </w:rPr>
                    </m:ctrlPr>
                  </m:dPr>
                  <m:e>
                    <m:r>
                      <m:rPr>
                        <m:sty m:val="p"/>
                      </m:rPr>
                      <w:rPr>
                        <w:rFonts w:ascii="Cambria Math" w:hAnsi="Cambria Math"/>
                        <w:highlight w:val="none"/>
                        <w:lang w:eastAsia="zh-CN"/>
                      </w:rPr>
                      <m:t>T</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i</m:t>
                        </m:r>
                        <m:ctrlPr>
                          <w:rPr>
                            <w:rFonts w:ascii="Cambria Math" w:hAnsi="Cambria Math"/>
                            <w:highlight w:val="none"/>
                            <w:lang w:eastAsia="zh-CN"/>
                          </w:rPr>
                        </m:ctrlPr>
                      </m:sub>
                    </m:sSub>
                    <m:r>
                      <m:rPr>
                        <m:sty m:val="p"/>
                      </m:rPr>
                      <w:rPr>
                        <w:rFonts w:ascii="Cambria Math" w:hAnsi="Cambria Math"/>
                        <w:highlight w:val="none"/>
                      </w:rPr>
                      <m:t>+</m:t>
                    </m:r>
                    <m:r>
                      <m:rPr>
                        <m:sty m:val="p"/>
                      </m:rPr>
                      <w:rPr>
                        <w:rFonts w:ascii="Cambria Math" w:hAnsi="Cambria Math"/>
                        <w:highlight w:val="none"/>
                        <w:lang w:eastAsia="zh-CN"/>
                      </w:rPr>
                      <m:t>6</m:t>
                    </m:r>
                    <m:ctrlPr>
                      <w:rPr>
                        <w:rFonts w:ascii="Cambria Math" w:hAnsi="Cambria Math"/>
                        <w:highlight w:val="none"/>
                        <w:lang w:eastAsia="zh-CN"/>
                      </w:rPr>
                    </m:ctrlPr>
                  </m:e>
                </m:d>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式中：L</w:t>
            </w:r>
            <w:r>
              <w:rPr>
                <w:highlight w:val="none"/>
                <w:vertAlign w:val="subscript"/>
                <w:lang w:eastAsia="zh-CN"/>
              </w:rPr>
              <w:t>p2i</w:t>
            </w:r>
            <w:r>
              <w:rPr>
                <w:highlight w:val="none"/>
                <w:lang w:eastAsia="zh-CN"/>
              </w:rPr>
              <w:t>(T)—靠近围护结构处室外N个声源i倍频带的叠加声压级，dB；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L</w:t>
            </w:r>
            <w:r>
              <w:rPr>
                <w:highlight w:val="none"/>
                <w:vertAlign w:val="subscript"/>
                <w:lang w:eastAsia="zh-CN"/>
              </w:rPr>
              <w:t>p</w:t>
            </w:r>
            <w:r>
              <w:rPr>
                <w:rFonts w:hint="eastAsia"/>
                <w:highlight w:val="none"/>
                <w:vertAlign w:val="subscript"/>
                <w:lang w:eastAsia="zh-CN"/>
              </w:rPr>
              <w:t>1</w:t>
            </w:r>
            <w:r>
              <w:rPr>
                <w:highlight w:val="none"/>
                <w:vertAlign w:val="subscript"/>
                <w:lang w:eastAsia="zh-CN"/>
              </w:rPr>
              <w:t>i</w:t>
            </w:r>
            <w:r>
              <w:rPr>
                <w:highlight w:val="none"/>
                <w:lang w:eastAsia="zh-CN"/>
              </w:rPr>
              <w:t>(T)—靠近围护结构处室</w:t>
            </w:r>
            <w:r>
              <w:rPr>
                <w:rFonts w:hint="eastAsia"/>
                <w:highlight w:val="none"/>
                <w:lang w:eastAsia="zh-CN"/>
              </w:rPr>
              <w:t>内</w:t>
            </w:r>
            <w:r>
              <w:rPr>
                <w:highlight w:val="none"/>
                <w:lang w:eastAsia="zh-CN"/>
              </w:rPr>
              <w:t>N个声源i倍频带的叠加声压级，dB；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TL</w:t>
            </w:r>
            <w:r>
              <w:rPr>
                <w:highlight w:val="none"/>
                <w:vertAlign w:val="subscript"/>
                <w:lang w:eastAsia="zh-CN"/>
              </w:rPr>
              <w:t>i</w:t>
            </w:r>
            <w:r>
              <w:rPr>
                <w:highlight w:val="none"/>
                <w:lang w:eastAsia="zh-CN"/>
              </w:rPr>
              <w:t>—围护结构i倍频带的隔声量，dB。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然后按④中公式将室外声源的声压级和透过面积换算成等效的室外声源，计算出中心位置位于透声面积（S）处的等效声源的倍频带声功率级。</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④将室外声级L</w:t>
            </w:r>
            <w:r>
              <w:rPr>
                <w:highlight w:val="none"/>
                <w:vertAlign w:val="subscript"/>
                <w:lang w:eastAsia="zh-CN"/>
              </w:rPr>
              <w:t>p2</w:t>
            </w:r>
            <w:r>
              <w:rPr>
                <w:highlight w:val="none"/>
                <w:lang w:eastAsia="zh-CN"/>
              </w:rPr>
              <w:t>(T)和透声面积换算成等效的室外声源，计算出等效声源第i个倍频带的声功率级L</w:t>
            </w:r>
            <w:r>
              <w:rPr>
                <w:highlight w:val="none"/>
                <w:vertAlign w:val="subscript"/>
                <w:lang w:eastAsia="zh-CN"/>
              </w:rPr>
              <w:t>w2</w:t>
            </w:r>
            <w:r>
              <w:rPr>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val="zh-CN"/>
              </w:rPr>
            </w:pPr>
            <m:oMathPara>
              <m:oMath>
                <m:sSub>
                  <m:sSubPr>
                    <m:ctrlPr>
                      <w:rPr>
                        <w:rFonts w:ascii="Cambria Math" w:hAnsi="Cambria Math"/>
                        <w:highlight w:val="none"/>
                        <w:lang w:val="zh-CN" w:eastAsia="zh-CN"/>
                      </w:rPr>
                    </m:ctrlPr>
                  </m:sSubPr>
                  <m:e>
                    <m:r>
                      <m:rPr>
                        <m:sty m:val="p"/>
                      </m:rPr>
                      <w:rPr>
                        <w:rFonts w:ascii="Cambria Math" w:hAnsi="Cambria Math"/>
                        <w:highlight w:val="none"/>
                        <w:lang w:eastAsia="zh-CN"/>
                      </w:rPr>
                      <m:t>L</m:t>
                    </m:r>
                    <m:ctrlPr>
                      <w:rPr>
                        <w:rFonts w:ascii="Cambria Math" w:hAnsi="Cambria Math"/>
                        <w:highlight w:val="none"/>
                        <w:lang w:val="zh-CN" w:eastAsia="zh-CN"/>
                      </w:rPr>
                    </m:ctrlPr>
                  </m:e>
                  <m:sub>
                    <m:r>
                      <m:rPr>
                        <m:sty m:val="p"/>
                      </m:rPr>
                      <w:rPr>
                        <w:rFonts w:ascii="Cambria Math" w:hAnsi="Cambria Math"/>
                        <w:highlight w:val="none"/>
                        <w:lang w:eastAsia="zh-CN"/>
                      </w:rPr>
                      <m:t>W2</m:t>
                    </m:r>
                    <m:ctrlPr>
                      <w:rPr>
                        <w:rFonts w:ascii="Cambria Math" w:hAnsi="Cambria Math"/>
                        <w:highlight w:val="none"/>
                        <w:lang w:val="zh-CN" w:eastAsia="zh-CN"/>
                      </w:rPr>
                    </m:ctrlPr>
                  </m:sub>
                </m:sSub>
                <m:r>
                  <m:rPr>
                    <m:sty m:val="p"/>
                  </m:rPr>
                  <w:rPr>
                    <w:rFonts w:ascii="Cambria Math" w:hAnsi="Cambria Math"/>
                    <w:highlight w:val="none"/>
                    <w:lang w:val="zh-CN" w:eastAsia="zh-CN"/>
                  </w:rPr>
                  <m:t>=</m:t>
                </m:r>
                <m:sSub>
                  <m:sSubPr>
                    <m:ctrlPr>
                      <w:rPr>
                        <w:rFonts w:ascii="Cambria Math" w:hAnsi="Cambria Math"/>
                        <w:highlight w:val="none"/>
                        <w:lang w:val="zh-CN" w:eastAsia="zh-CN"/>
                      </w:rPr>
                    </m:ctrlPr>
                  </m:sSubPr>
                  <m:e>
                    <m:r>
                      <m:rPr>
                        <m:sty m:val="p"/>
                      </m:rPr>
                      <w:rPr>
                        <w:rFonts w:ascii="Cambria Math" w:hAnsi="Cambria Math"/>
                        <w:highlight w:val="none"/>
                        <w:lang w:eastAsia="zh-CN"/>
                      </w:rPr>
                      <m:t>L</m:t>
                    </m:r>
                    <m:ctrlPr>
                      <w:rPr>
                        <w:rFonts w:ascii="Cambria Math" w:hAnsi="Cambria Math"/>
                        <w:highlight w:val="none"/>
                        <w:lang w:val="zh-CN" w:eastAsia="zh-CN"/>
                      </w:rPr>
                    </m:ctrlPr>
                  </m:e>
                  <m:sub>
                    <m:r>
                      <m:rPr>
                        <m:sty m:val="p"/>
                      </m:rPr>
                      <w:rPr>
                        <w:rFonts w:ascii="Cambria Math" w:hAnsi="Cambria Math"/>
                        <w:highlight w:val="none"/>
                        <w:lang w:eastAsia="zh-CN"/>
                      </w:rPr>
                      <m:t>P2</m:t>
                    </m:r>
                    <m:ctrlPr>
                      <w:rPr>
                        <w:rFonts w:ascii="Cambria Math" w:hAnsi="Cambria Math"/>
                        <w:highlight w:val="none"/>
                        <w:lang w:val="zh-CN" w:eastAsia="zh-CN"/>
                      </w:rPr>
                    </m:ctrlPr>
                  </m:sub>
                </m:sSub>
                <m:d>
                  <m:dPr>
                    <m:ctrlPr>
                      <w:rPr>
                        <w:rFonts w:ascii="Cambria Math" w:hAnsi="Cambria Math"/>
                        <w:highlight w:val="none"/>
                        <w:lang w:val="zh-CN" w:eastAsia="zh-CN"/>
                      </w:rPr>
                    </m:ctrlPr>
                  </m:dPr>
                  <m:e>
                    <m:r>
                      <m:rPr>
                        <m:sty m:val="p"/>
                      </m:rPr>
                      <w:rPr>
                        <w:rFonts w:ascii="Cambria Math" w:hAnsi="Cambria Math"/>
                        <w:highlight w:val="none"/>
                        <w:lang w:eastAsia="zh-CN"/>
                      </w:rPr>
                      <m:t>T</m:t>
                    </m:r>
                    <m:ctrlPr>
                      <w:rPr>
                        <w:rFonts w:ascii="Cambria Math" w:hAnsi="Cambria Math"/>
                        <w:highlight w:val="none"/>
                        <w:lang w:val="zh-CN" w:eastAsia="zh-CN"/>
                      </w:rPr>
                    </m:ctrlPr>
                  </m:e>
                </m:d>
                <m:r>
                  <m:rPr>
                    <m:sty m:val="p"/>
                  </m:rPr>
                  <w:rPr>
                    <w:rFonts w:ascii="Cambria Math" w:hAnsi="Cambria Math"/>
                    <w:highlight w:val="none"/>
                    <w:lang w:val="zh-CN" w:eastAsia="zh-CN"/>
                  </w:rPr>
                  <m:t>+</m:t>
                </m:r>
                <m:r>
                  <m:rPr>
                    <m:sty m:val="p"/>
                  </m:rPr>
                  <w:rPr>
                    <w:rFonts w:ascii="Cambria Math" w:hAnsi="Cambria Math"/>
                    <w:highlight w:val="none"/>
                    <w:lang w:eastAsia="zh-CN"/>
                  </w:rPr>
                  <m:t>10lgS</m:t>
                </m:r>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式中：S—透声面积，m</w:t>
            </w:r>
            <w:r>
              <w:rPr>
                <w:highlight w:val="none"/>
                <w:vertAlign w:val="superscript"/>
                <w:lang w:eastAsia="zh-CN"/>
              </w:rPr>
              <w:t>2</w:t>
            </w:r>
            <w:r>
              <w:rPr>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然后按室外声源预测方法计算预测点处的A声级。室内声源调查清单一览表见下表。</w:t>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rFonts w:hint="eastAsia"/>
                <w:color w:val="auto"/>
                <w:highlight w:val="none"/>
                <w:lang w:eastAsia="zh-CN"/>
              </w:rPr>
              <w:t>表4-8 工业企业室内声源噪声源强一览表</w:t>
            </w:r>
          </w:p>
          <w:tbl>
            <w:tblPr>
              <w:tblStyle w:val="13"/>
              <w:tblW w:w="81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420"/>
              <w:gridCol w:w="587"/>
              <w:gridCol w:w="420"/>
              <w:gridCol w:w="263"/>
              <w:gridCol w:w="432"/>
              <w:gridCol w:w="264"/>
              <w:gridCol w:w="364"/>
              <w:gridCol w:w="364"/>
              <w:gridCol w:w="364"/>
              <w:gridCol w:w="364"/>
              <w:gridCol w:w="364"/>
              <w:gridCol w:w="364"/>
              <w:gridCol w:w="364"/>
              <w:gridCol w:w="364"/>
              <w:gridCol w:w="734"/>
              <w:gridCol w:w="354"/>
              <w:gridCol w:w="364"/>
              <w:gridCol w:w="364"/>
              <w:gridCol w:w="364"/>
              <w:gridCol w:w="2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5" w:hRule="exact"/>
                <w:jc w:val="center"/>
              </w:trPr>
              <w:tc>
                <w:tcPr>
                  <w:tcW w:w="416"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建筑物名称</w:t>
                  </w:r>
                </w:p>
              </w:tc>
              <w:tc>
                <w:tcPr>
                  <w:tcW w:w="42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声源名称</w:t>
                  </w:r>
                </w:p>
              </w:tc>
              <w:tc>
                <w:tcPr>
                  <w:tcW w:w="58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源强</w:t>
                  </w:r>
                </w:p>
              </w:tc>
              <w:tc>
                <w:tcPr>
                  <w:tcW w:w="420"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声源控制措施</w:t>
                  </w:r>
                </w:p>
              </w:tc>
              <w:tc>
                <w:tcPr>
                  <w:tcW w:w="959" w:type="dxa"/>
                  <w:gridSpan w:val="3"/>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空间相对位置/m</w:t>
                  </w:r>
                </w:p>
              </w:tc>
              <w:tc>
                <w:tcPr>
                  <w:tcW w:w="1456" w:type="dxa"/>
                  <w:gridSpan w:val="4"/>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距室内边界距离/m</w:t>
                  </w:r>
                </w:p>
              </w:tc>
              <w:tc>
                <w:tcPr>
                  <w:tcW w:w="1456" w:type="dxa"/>
                  <w:gridSpan w:val="4"/>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室内边界声级/dB(A)</w:t>
                  </w:r>
                </w:p>
              </w:tc>
              <w:tc>
                <w:tcPr>
                  <w:tcW w:w="734"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建筑物插入损</w:t>
                  </w:r>
                  <w:r>
                    <w:rPr>
                      <w:rFonts w:hint="eastAsia"/>
                      <w:highlight w:val="none"/>
                    </w:rPr>
                    <w:t>失</w:t>
                  </w:r>
                  <w:r>
                    <w:rPr>
                      <w:highlight w:val="none"/>
                    </w:rPr>
                    <w:t>dB(A)</w:t>
                  </w:r>
                  <w:bookmarkStart w:id="2" w:name="PT_10"/>
                  <w:bookmarkEnd w:id="2"/>
                </w:p>
              </w:tc>
              <w:tc>
                <w:tcPr>
                  <w:tcW w:w="1658" w:type="dxa"/>
                  <w:gridSpan w:val="5"/>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建筑物外噪声声压级/dB(A)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063" w:hRule="atLeast"/>
                <w:jc w:val="center"/>
              </w:trPr>
              <w:tc>
                <w:tcPr>
                  <w:tcW w:w="416" w:type="dxa"/>
                  <w:vMerge w:val="continue"/>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420" w:type="dxa"/>
                  <w:vMerge w:val="continue"/>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587"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声功率级/dB(A)</w:t>
                  </w:r>
                </w:p>
              </w:tc>
              <w:tc>
                <w:tcPr>
                  <w:tcW w:w="420" w:type="dxa"/>
                  <w:vMerge w:val="continue"/>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263"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X</w:t>
                  </w:r>
                </w:p>
              </w:tc>
              <w:tc>
                <w:tcPr>
                  <w:tcW w:w="432"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Y</w:t>
                  </w:r>
                </w:p>
              </w:tc>
              <w:tc>
                <w:tcPr>
                  <w:tcW w:w="2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Z</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东</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南</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西</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北</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东</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南</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西</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北</w:t>
                  </w:r>
                </w:p>
              </w:tc>
              <w:tc>
                <w:tcPr>
                  <w:tcW w:w="734" w:type="dxa"/>
                  <w:vMerge w:val="continue"/>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35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东</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南</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西</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北</w:t>
                  </w:r>
                </w:p>
              </w:tc>
              <w:tc>
                <w:tcPr>
                  <w:tcW w:w="212"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建筑物外距离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trHeight w:val="1719" w:hRule="atLeast"/>
                <w:jc w:val="center"/>
              </w:trPr>
              <w:tc>
                <w:tcPr>
                  <w:tcW w:w="416"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生产车间</w:t>
                  </w:r>
                </w:p>
              </w:tc>
              <w:tc>
                <w:tcPr>
                  <w:tcW w:w="420"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装配线</w:t>
                  </w:r>
                </w:p>
              </w:tc>
              <w:tc>
                <w:tcPr>
                  <w:tcW w:w="587"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75</w:t>
                  </w:r>
                </w:p>
              </w:tc>
              <w:tc>
                <w:tcPr>
                  <w:tcW w:w="420"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基础减振、消声、厂房隔声</w:t>
                  </w:r>
                </w:p>
              </w:tc>
              <w:tc>
                <w:tcPr>
                  <w:tcW w:w="263"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-30.3</w:t>
                  </w:r>
                </w:p>
              </w:tc>
              <w:tc>
                <w:tcPr>
                  <w:tcW w:w="432"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-27.3</w:t>
                  </w:r>
                </w:p>
              </w:tc>
              <w:tc>
                <w:tcPr>
                  <w:tcW w:w="2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1.2</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4.9</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32.9</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16.4</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8.9</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63.2</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62.9</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62.9</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63.0</w:t>
                  </w:r>
                </w:p>
              </w:tc>
              <w:tc>
                <w:tcPr>
                  <w:tcW w:w="73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16</w:t>
                  </w:r>
                </w:p>
              </w:tc>
              <w:tc>
                <w:tcPr>
                  <w:tcW w:w="35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47.2</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46.9</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46.9</w:t>
                  </w:r>
                </w:p>
              </w:tc>
              <w:tc>
                <w:tcPr>
                  <w:tcW w:w="364"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47.0</w:t>
                  </w:r>
                </w:p>
              </w:tc>
              <w:tc>
                <w:tcPr>
                  <w:tcW w:w="212" w:type="dxa"/>
                  <w:shd w:val="clear" w:color="auto" w:fill="FFFFFF"/>
                  <w:tcMar>
                    <w:top w:w="0" w:type="dxa"/>
                    <w:left w:w="0" w:type="dxa"/>
                    <w:bottom w:w="0" w:type="dxa"/>
                    <w:right w:w="0" w:type="dxa"/>
                  </w:tcMar>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w:t>
                  </w:r>
                  <w:r>
                    <w:rPr>
                      <w:rFonts w:hint="eastAsia"/>
                      <w:highlight w:val="none"/>
                    </w:rPr>
                    <w:t>m</w:t>
                  </w:r>
                </w:p>
              </w:tc>
            </w:tr>
          </w:tbl>
          <w:p>
            <w:pPr>
              <w:pStyle w:val="18"/>
              <w:keepNext w:val="0"/>
              <w:keepLines w:val="0"/>
              <w:pageBreakBefore w:val="0"/>
              <w:kinsoku/>
              <w:wordWrap/>
              <w:overflowPunct w:val="0"/>
              <w:topLinePunct w:val="0"/>
              <w:autoSpaceDE w:val="0"/>
              <w:autoSpaceDN w:val="0"/>
              <w:bidi w:val="0"/>
              <w:adjustRightInd w:val="0"/>
              <w:snapToGrid w:val="0"/>
              <w:jc w:val="left"/>
              <w:rPr>
                <w:color w:val="FF0000"/>
                <w:highlight w:val="none"/>
                <w:lang w:eastAsia="zh-CN"/>
              </w:rPr>
            </w:pPr>
            <w:r>
              <w:rPr>
                <w:rFonts w:hint="eastAsia"/>
                <w:highlight w:val="none"/>
                <w:lang w:eastAsia="zh-CN"/>
              </w:rPr>
              <w:t>注：相对位置坐标以坐标（117.135726,31.791887为）原点，东西方向为x轴，南北方向为y轴。</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2)室外声源衰减</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①计算某个声源在预测点的声压级</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sSub>
                  <m:sSubPr>
                    <m:ctrlPr>
                      <w:rPr>
                        <w:rFonts w:ascii="Cambria Math" w:hAnsi="Cambria Math"/>
                        <w:highlight w:val="none"/>
                      </w:rPr>
                    </m:ctrlPr>
                  </m:sSubPr>
                  <m:e>
                    <m:r>
                      <m:rPr>
                        <m:sty m:val="p"/>
                      </m:rPr>
                      <w:rPr>
                        <w:rFonts w:ascii="Cambria Math" w:hAnsi="Cambria Math"/>
                        <w:highlight w:val="none"/>
                        <w:lang w:eastAsia="zh-CN"/>
                      </w:rPr>
                      <m:t>L</m:t>
                    </m:r>
                    <m:ctrlPr>
                      <w:rPr>
                        <w:rFonts w:ascii="Cambria Math" w:hAnsi="Cambria Math"/>
                        <w:highlight w:val="none"/>
                      </w:rPr>
                    </m:ctrlPr>
                  </m:e>
                  <m:sub>
                    <m:r>
                      <m:rPr>
                        <m:sty m:val="p"/>
                      </m:rPr>
                      <w:rPr>
                        <w:rFonts w:ascii="Cambria Math" w:hAnsi="Cambria Math"/>
                        <w:highlight w:val="none"/>
                        <w:lang w:eastAsia="zh-CN"/>
                      </w:rPr>
                      <m:t>P</m:t>
                    </m:r>
                    <m:d>
                      <m:dPr>
                        <m:ctrlPr>
                          <w:rPr>
                            <w:rFonts w:ascii="Cambria Math" w:hAnsi="Cambria Math"/>
                            <w:highlight w:val="none"/>
                            <w:lang w:eastAsia="zh-CN"/>
                          </w:rPr>
                        </m:ctrlPr>
                      </m:dPr>
                      <m:e>
                        <m:r>
                          <m:rPr>
                            <m:sty m:val="p"/>
                          </m:rPr>
                          <w:rPr>
                            <w:rFonts w:ascii="Cambria Math" w:hAnsi="Cambria Math"/>
                            <w:highlight w:val="none"/>
                            <w:lang w:eastAsia="zh-CN"/>
                          </w:rPr>
                          <m:t>r</m:t>
                        </m:r>
                        <m:ctrlPr>
                          <w:rPr>
                            <w:rFonts w:ascii="Cambria Math" w:hAnsi="Cambria Math"/>
                            <w:highlight w:val="none"/>
                            <w:lang w:eastAsia="zh-CN"/>
                          </w:rPr>
                        </m:ctrlPr>
                      </m:e>
                    </m:d>
                    <m:ctrlPr>
                      <w:rPr>
                        <w:rFonts w:ascii="Cambria Math" w:hAnsi="Cambria Math"/>
                        <w:highlight w:val="none"/>
                      </w:rPr>
                    </m:ctrlPr>
                  </m:sub>
                </m:sSub>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W</m:t>
                    </m:r>
                    <m:ctrlPr>
                      <w:rPr>
                        <w:rFonts w:ascii="Cambria Math" w:hAnsi="Cambria Math"/>
                        <w:highlight w:val="none"/>
                        <w:lang w:eastAsia="zh-CN"/>
                      </w:rPr>
                    </m:ctrlPr>
                  </m:sub>
                </m:sSub>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D</m:t>
                    </m:r>
                    <m:ctrlPr>
                      <w:rPr>
                        <w:rFonts w:ascii="Cambria Math" w:hAnsi="Cambria Math"/>
                        <w:highlight w:val="none"/>
                        <w:lang w:eastAsia="zh-CN"/>
                      </w:rPr>
                    </m:ctrlPr>
                  </m:e>
                  <m:sub>
                    <m:r>
                      <m:rPr>
                        <m:sty m:val="p"/>
                      </m:rPr>
                      <w:rPr>
                        <w:rFonts w:ascii="Cambria Math" w:hAnsi="Cambria Math"/>
                        <w:highlight w:val="none"/>
                        <w:lang w:eastAsia="zh-CN"/>
                      </w:rPr>
                      <m:t>C</m:t>
                    </m:r>
                    <m:ctrlPr>
                      <w:rPr>
                        <w:rFonts w:ascii="Cambria Math" w:hAnsi="Cambria Math"/>
                        <w:highlight w:val="none"/>
                        <w:lang w:eastAsia="zh-CN"/>
                      </w:rPr>
                    </m:ctrlPr>
                  </m:sub>
                </m:sSub>
                <m:r>
                  <m:rPr>
                    <m:sty m:val="p"/>
                  </m:rPr>
                  <w:rPr>
                    <w:rFonts w:ascii="Cambria Math" w:hAnsi="Cambria Math"/>
                    <w:highlight w:val="none"/>
                    <w:lang w:eastAsia="zh-CN"/>
                  </w:rPr>
                  <m:t>−A</m:t>
                </m:r>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r>
                  <m:rPr>
                    <m:sty m:val="p"/>
                  </m:rPr>
                  <w:rPr>
                    <w:rFonts w:ascii="Cambria Math" w:hAnsi="Cambria Math"/>
                    <w:highlight w:val="none"/>
                    <w:lang w:val="zh-CN" w:eastAsia="zh-CN"/>
                  </w:rPr>
                  <m:t>A</m:t>
                </m:r>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A</m:t>
                    </m:r>
                    <m:ctrlPr>
                      <w:rPr>
                        <w:rFonts w:ascii="Cambria Math" w:hAnsi="Cambria Math"/>
                        <w:highlight w:val="none"/>
                        <w:lang w:eastAsia="zh-CN"/>
                      </w:rPr>
                    </m:ctrlPr>
                  </m:e>
                  <m:sub>
                    <m:r>
                      <m:rPr>
                        <m:sty m:val="p"/>
                      </m:rPr>
                      <w:rPr>
                        <w:rFonts w:ascii="Cambria Math" w:hAnsi="Cambria Math"/>
                        <w:highlight w:val="none"/>
                        <w:lang w:eastAsia="zh-CN"/>
                      </w:rPr>
                      <m:t>div</m:t>
                    </m:r>
                    <m:ctrlPr>
                      <w:rPr>
                        <w:rFonts w:ascii="Cambria Math" w:hAnsi="Cambria Math"/>
                        <w:highlight w:val="none"/>
                        <w:lang w:eastAsia="zh-CN"/>
                      </w:rPr>
                    </m:ctrlPr>
                  </m:sub>
                </m:sSub>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A</m:t>
                    </m:r>
                    <m:ctrlPr>
                      <w:rPr>
                        <w:rFonts w:ascii="Cambria Math" w:hAnsi="Cambria Math"/>
                        <w:highlight w:val="none"/>
                        <w:lang w:eastAsia="zh-CN"/>
                      </w:rPr>
                    </m:ctrlPr>
                  </m:e>
                  <m:sub>
                    <m:r>
                      <m:rPr>
                        <m:sty m:val="p"/>
                      </m:rPr>
                      <w:rPr>
                        <w:rFonts w:ascii="Cambria Math" w:hAnsi="Cambria Math"/>
                        <w:highlight w:val="none"/>
                        <w:lang w:eastAsia="zh-CN"/>
                      </w:rPr>
                      <m:t>atm</m:t>
                    </m:r>
                    <m:ctrlPr>
                      <w:rPr>
                        <w:rFonts w:ascii="Cambria Math" w:hAnsi="Cambria Math"/>
                        <w:highlight w:val="none"/>
                        <w:lang w:eastAsia="zh-CN"/>
                      </w:rPr>
                    </m:ctrlPr>
                  </m:sub>
                </m:sSub>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A</m:t>
                    </m:r>
                    <m:ctrlPr>
                      <w:rPr>
                        <w:rFonts w:ascii="Cambria Math" w:hAnsi="Cambria Math"/>
                        <w:highlight w:val="none"/>
                        <w:lang w:eastAsia="zh-CN"/>
                      </w:rPr>
                    </m:ctrlPr>
                  </m:e>
                  <m:sub>
                    <m:r>
                      <m:rPr>
                        <m:sty m:val="p"/>
                      </m:rPr>
                      <w:rPr>
                        <w:rFonts w:ascii="Cambria Math" w:hAnsi="Cambria Math"/>
                        <w:highlight w:val="none"/>
                        <w:lang w:eastAsia="zh-CN"/>
                      </w:rPr>
                      <m:t>gr</m:t>
                    </m:r>
                    <m:ctrlPr>
                      <w:rPr>
                        <w:rFonts w:ascii="Cambria Math" w:hAnsi="Cambria Math"/>
                        <w:highlight w:val="none"/>
                        <w:lang w:eastAsia="zh-CN"/>
                      </w:rPr>
                    </m:ctrlPr>
                  </m:sub>
                </m:sSub>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A</m:t>
                    </m:r>
                    <m:ctrlPr>
                      <w:rPr>
                        <w:rFonts w:ascii="Cambria Math" w:hAnsi="Cambria Math"/>
                        <w:highlight w:val="none"/>
                        <w:lang w:eastAsia="zh-CN"/>
                      </w:rPr>
                    </m:ctrlPr>
                  </m:e>
                  <m:sub>
                    <m:r>
                      <m:rPr>
                        <m:sty m:val="p"/>
                      </m:rPr>
                      <w:rPr>
                        <w:rFonts w:ascii="Cambria Math" w:hAnsi="Cambria Math"/>
                        <w:highlight w:val="none"/>
                        <w:lang w:eastAsia="zh-CN"/>
                      </w:rPr>
                      <m:t>bar</m:t>
                    </m:r>
                    <m:ctrlPr>
                      <w:rPr>
                        <w:rFonts w:ascii="Cambria Math" w:hAnsi="Cambria Math"/>
                        <w:highlight w:val="none"/>
                        <w:lang w:eastAsia="zh-CN"/>
                      </w:rPr>
                    </m:ctrlPr>
                  </m:sub>
                </m:sSub>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A</m:t>
                    </m:r>
                    <m:ctrlPr>
                      <w:rPr>
                        <w:rFonts w:ascii="Cambria Math" w:hAnsi="Cambria Math"/>
                        <w:highlight w:val="none"/>
                        <w:lang w:eastAsia="zh-CN"/>
                      </w:rPr>
                    </m:ctrlPr>
                  </m:e>
                  <m:sub>
                    <m:r>
                      <m:rPr>
                        <m:sty m:val="p"/>
                      </m:rPr>
                      <w:rPr>
                        <w:rFonts w:ascii="Cambria Math" w:hAnsi="Cambria Math"/>
                        <w:highlight w:val="none"/>
                        <w:lang w:eastAsia="zh-CN"/>
                      </w:rPr>
                      <m:t>MISC</m:t>
                    </m:r>
                    <m:ctrlPr>
                      <w:rPr>
                        <w:rFonts w:ascii="Cambria Math" w:hAnsi="Cambria Math"/>
                        <w:highlight w:val="none"/>
                        <w:lang w:eastAsia="zh-CN"/>
                      </w:rPr>
                    </m:ctrlPr>
                  </m:sub>
                </m:sSub>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L</w:t>
            </w:r>
            <w:r>
              <w:rPr>
                <w:highlight w:val="none"/>
                <w:vertAlign w:val="subscript"/>
                <w:lang w:eastAsia="zh-CN"/>
              </w:rPr>
              <w:t>W</w:t>
            </w:r>
            <w:r>
              <w:rPr>
                <w:highlight w:val="none"/>
                <w:lang w:eastAsia="zh-CN"/>
              </w:rPr>
              <w:t>—</w:t>
            </w:r>
            <w:r>
              <w:rPr>
                <w:rFonts w:hint="eastAsia"/>
                <w:highlight w:val="none"/>
                <w:lang w:eastAsia="zh-CN"/>
              </w:rPr>
              <w:t>由点声源产生的声功率级（A计权或倍频带），dB</w:t>
            </w:r>
            <w:r>
              <w:rPr>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D</w:t>
            </w:r>
            <w:r>
              <w:rPr>
                <w:highlight w:val="none"/>
                <w:vertAlign w:val="subscript"/>
                <w:lang w:eastAsia="zh-CN"/>
              </w:rPr>
              <w:t>c</w:t>
            </w:r>
            <w:r>
              <w:rPr>
                <w:highlight w:val="none"/>
                <w:lang w:eastAsia="zh-CN"/>
              </w:rPr>
              <w:t>—指向性校正，dB，它描述点声源的等效连续声压级与产生声功率级Lw的全向点声源在规定方向的级的偏差程度。</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A—倍频带衰减，dB；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A</w:t>
            </w:r>
            <w:r>
              <w:rPr>
                <w:highlight w:val="none"/>
                <w:vertAlign w:val="subscript"/>
                <w:lang w:eastAsia="zh-CN"/>
              </w:rPr>
              <w:t>div</w:t>
            </w:r>
            <w:r>
              <w:rPr>
                <w:highlight w:val="none"/>
                <w:lang w:eastAsia="zh-CN"/>
              </w:rPr>
              <w:t>—几何发散引起的倍频带衰减，dB；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A</w:t>
            </w:r>
            <w:r>
              <w:rPr>
                <w:highlight w:val="none"/>
                <w:vertAlign w:val="subscript"/>
                <w:lang w:eastAsia="zh-CN"/>
              </w:rPr>
              <w:t>atm</w:t>
            </w:r>
            <w:r>
              <w:rPr>
                <w:highlight w:val="none"/>
                <w:lang w:eastAsia="zh-CN"/>
              </w:rPr>
              <w:t>—大气吸收引起的倍频带衰减，dB；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A</w:t>
            </w:r>
            <w:r>
              <w:rPr>
                <w:highlight w:val="none"/>
                <w:vertAlign w:val="subscript"/>
                <w:lang w:eastAsia="zh-CN"/>
              </w:rPr>
              <w:t>g</w:t>
            </w:r>
            <w:r>
              <w:rPr>
                <w:highlight w:val="none"/>
                <w:lang w:eastAsia="zh-CN"/>
              </w:rPr>
              <w:t>r—地面效应引起的倍频带衰减，dB；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A</w:t>
            </w:r>
            <w:r>
              <w:rPr>
                <w:highlight w:val="none"/>
                <w:vertAlign w:val="subscript"/>
                <w:lang w:eastAsia="zh-CN"/>
              </w:rPr>
              <w:t>bar</w:t>
            </w:r>
            <w:r>
              <w:rPr>
                <w:highlight w:val="none"/>
                <w:lang w:eastAsia="zh-CN"/>
              </w:rPr>
              <w:t>—声屏障引起的倍频带衰减，dB；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A</w:t>
            </w:r>
            <w:r>
              <w:rPr>
                <w:highlight w:val="none"/>
                <w:vertAlign w:val="subscript"/>
                <w:lang w:eastAsia="zh-CN"/>
              </w:rPr>
              <w:t>misc</w:t>
            </w:r>
            <w:r>
              <w:rPr>
                <w:highlight w:val="none"/>
                <w:lang w:eastAsia="zh-CN"/>
              </w:rPr>
              <w:t>—其它多方面效应引起的倍频带衰减，dB</w:t>
            </w:r>
            <w:r>
              <w:rPr>
                <w:rFonts w:hint="eastAsia"/>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②已知靠近声源处某点的倍频带声压级Lp（r</w:t>
            </w:r>
            <w:r>
              <w:rPr>
                <w:highlight w:val="none"/>
                <w:vertAlign w:val="subscript"/>
                <w:lang w:eastAsia="zh-CN"/>
              </w:rPr>
              <w:t>0</w:t>
            </w:r>
            <w:r>
              <w:rPr>
                <w:highlight w:val="none"/>
                <w:lang w:eastAsia="zh-CN"/>
              </w:rPr>
              <w:t>），计算相同方向预测点位置的倍频带声压级：</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P</m:t>
                    </m:r>
                    <m:ctrlPr>
                      <w:rPr>
                        <w:rFonts w:ascii="Cambria Math" w:hAnsi="Cambria Math"/>
                        <w:highlight w:val="none"/>
                        <w:lang w:eastAsia="zh-CN"/>
                      </w:rPr>
                    </m:ctrlPr>
                  </m:sub>
                </m:sSub>
                <m:d>
                  <m:dPr>
                    <m:ctrlPr>
                      <w:rPr>
                        <w:rFonts w:ascii="Cambria Math" w:hAnsi="Cambria Math"/>
                        <w:highlight w:val="none"/>
                        <w:lang w:eastAsia="zh-CN"/>
                      </w:rPr>
                    </m:ctrlPr>
                  </m:dPr>
                  <m:e>
                    <m:r>
                      <m:rPr>
                        <m:sty m:val="p"/>
                      </m:rPr>
                      <w:rPr>
                        <w:rFonts w:ascii="Cambria Math" w:hAnsi="Cambria Math"/>
                        <w:highlight w:val="none"/>
                        <w:lang w:eastAsia="zh-CN"/>
                      </w:rPr>
                      <m:t>r</m:t>
                    </m:r>
                    <m:ctrlPr>
                      <w:rPr>
                        <w:rFonts w:ascii="Cambria Math" w:hAnsi="Cambria Math"/>
                        <w:highlight w:val="none"/>
                        <w:lang w:eastAsia="zh-CN"/>
                      </w:rPr>
                    </m:ctrlPr>
                  </m:e>
                </m:d>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P</m:t>
                    </m:r>
                    <m:ctrlPr>
                      <w:rPr>
                        <w:rFonts w:ascii="Cambria Math" w:hAnsi="Cambria Math"/>
                        <w:highlight w:val="none"/>
                        <w:lang w:eastAsia="zh-CN"/>
                      </w:rPr>
                    </m:ctrlPr>
                  </m:sub>
                </m:sSub>
                <m:d>
                  <m:dPr>
                    <m:ctrlPr>
                      <w:rPr>
                        <w:rFonts w:ascii="Cambria Math" w:hAnsi="Cambria Math"/>
                        <w:highlight w:val="none"/>
                        <w:lang w:eastAsia="zh-CN"/>
                      </w:rPr>
                    </m:ctrlPr>
                  </m:dPr>
                  <m:e>
                    <m:sSub>
                      <m:sSubPr>
                        <m:ctrlPr>
                          <w:rPr>
                            <w:rFonts w:ascii="Cambria Math" w:hAnsi="Cambria Math"/>
                            <w:highlight w:val="none"/>
                            <w:lang w:eastAsia="zh-CN"/>
                          </w:rPr>
                        </m:ctrlPr>
                      </m:sSubPr>
                      <m:e>
                        <m:r>
                          <m:rPr>
                            <m:sty m:val="p"/>
                          </m:rPr>
                          <w:rPr>
                            <w:rFonts w:ascii="Cambria Math" w:hAnsi="Cambria Math"/>
                            <w:highlight w:val="none"/>
                            <w:lang w:eastAsia="zh-CN"/>
                          </w:rPr>
                          <m:t>r</m:t>
                        </m:r>
                        <m:ctrlPr>
                          <w:rPr>
                            <w:rFonts w:ascii="Cambria Math" w:hAnsi="Cambria Math"/>
                            <w:highlight w:val="none"/>
                            <w:lang w:eastAsia="zh-CN"/>
                          </w:rPr>
                        </m:ctrlPr>
                      </m:e>
                      <m:sub>
                        <m:r>
                          <m:rPr>
                            <m:sty m:val="p"/>
                          </m:rPr>
                          <w:rPr>
                            <w:rFonts w:ascii="Cambria Math" w:hAnsi="Cambria Math"/>
                            <w:highlight w:val="none"/>
                            <w:lang w:eastAsia="zh-CN"/>
                          </w:rPr>
                          <m:t>0</m:t>
                        </m:r>
                        <m:ctrlPr>
                          <w:rPr>
                            <w:rFonts w:ascii="Cambria Math" w:hAnsi="Cambria Math"/>
                            <w:highlight w:val="none"/>
                            <w:lang w:eastAsia="zh-CN"/>
                          </w:rPr>
                        </m:ctrlPr>
                      </m:sub>
                    </m:sSub>
                    <m:ctrlPr>
                      <w:rPr>
                        <w:rFonts w:ascii="Cambria Math" w:hAnsi="Cambria Math"/>
                        <w:highlight w:val="none"/>
                        <w:lang w:eastAsia="zh-CN"/>
                      </w:rPr>
                    </m:ctrlPr>
                  </m:e>
                </m:d>
                <m:r>
                  <m:rPr>
                    <m:sty m:val="p"/>
                  </m:rPr>
                  <w:rPr>
                    <w:rFonts w:ascii="Cambria Math" w:hAnsi="Cambria Math"/>
                    <w:highlight w:val="none"/>
                    <w:lang w:eastAsia="zh-CN"/>
                  </w:rPr>
                  <m:t>−A</m:t>
                </m:r>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预测点的A声级LA(r)，可利用8个倍频带的声压级按如下计算：</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sSub>
                  <m:sSubPr>
                    <m:ctrlPr>
                      <w:rPr>
                        <w:rFonts w:ascii="Cambria Math" w:hAnsi="Cambria Math"/>
                        <w:highlight w:val="none"/>
                        <w:lang w:val="zh-CN" w:eastAsia="zh-CN"/>
                      </w:rPr>
                    </m:ctrlPr>
                  </m:sSubPr>
                  <m:e>
                    <m:r>
                      <m:rPr>
                        <m:sty m:val="p"/>
                      </m:rPr>
                      <w:rPr>
                        <w:rFonts w:ascii="Cambria Math" w:hAnsi="Cambria Math"/>
                        <w:highlight w:val="none"/>
                        <w:lang w:eastAsia="zh-CN"/>
                      </w:rPr>
                      <m:t>L</m:t>
                    </m:r>
                    <m:ctrlPr>
                      <w:rPr>
                        <w:rFonts w:ascii="Cambria Math" w:hAnsi="Cambria Math"/>
                        <w:highlight w:val="none"/>
                        <w:lang w:val="zh-CN" w:eastAsia="zh-CN"/>
                      </w:rPr>
                    </m:ctrlPr>
                  </m:e>
                  <m:sub>
                    <m:r>
                      <m:rPr>
                        <m:sty m:val="p"/>
                      </m:rPr>
                      <w:rPr>
                        <w:rFonts w:ascii="Cambria Math" w:hAnsi="Cambria Math"/>
                        <w:highlight w:val="none"/>
                        <w:lang w:eastAsia="zh-CN"/>
                      </w:rPr>
                      <m:t>A</m:t>
                    </m:r>
                    <m:ctrlPr>
                      <w:rPr>
                        <w:rFonts w:ascii="Cambria Math" w:hAnsi="Cambria Math"/>
                        <w:highlight w:val="none"/>
                        <w:lang w:val="zh-CN" w:eastAsia="zh-CN"/>
                      </w:rPr>
                    </m:ctrlPr>
                  </m:sub>
                </m:sSub>
                <m:d>
                  <m:dPr>
                    <m:ctrlPr>
                      <w:rPr>
                        <w:rFonts w:ascii="Cambria Math" w:hAnsi="Cambria Math"/>
                        <w:highlight w:val="none"/>
                        <w:lang w:val="zh-CN" w:eastAsia="zh-CN"/>
                      </w:rPr>
                    </m:ctrlPr>
                  </m:dPr>
                  <m:e>
                    <m:r>
                      <m:rPr>
                        <m:sty m:val="p"/>
                      </m:rPr>
                      <w:rPr>
                        <w:rFonts w:ascii="Cambria Math" w:hAnsi="Cambria Math"/>
                        <w:highlight w:val="none"/>
                        <w:lang w:eastAsia="zh-CN"/>
                      </w:rPr>
                      <m:t>r</m:t>
                    </m:r>
                    <m:ctrlPr>
                      <w:rPr>
                        <w:rFonts w:ascii="Cambria Math" w:hAnsi="Cambria Math"/>
                        <w:highlight w:val="none"/>
                        <w:lang w:val="zh-CN" w:eastAsia="zh-CN"/>
                      </w:rPr>
                    </m:ctrlPr>
                  </m:e>
                </m:d>
                <m:r>
                  <m:rPr>
                    <m:sty m:val="p"/>
                  </m:rPr>
                  <w:rPr>
                    <w:rFonts w:ascii="Cambria Math" w:hAnsi="Cambria Math"/>
                    <w:highlight w:val="none"/>
                    <w:lang w:val="zh-CN" w:eastAsia="zh-CN"/>
                  </w:rPr>
                  <m:t>=</m:t>
                </m:r>
                <m:r>
                  <m:rPr>
                    <m:sty m:val="p"/>
                  </m:rPr>
                  <w:rPr>
                    <w:rFonts w:ascii="Cambria Math" w:hAnsi="Cambria Math"/>
                    <w:highlight w:val="none"/>
                    <w:lang w:eastAsia="zh-CN"/>
                  </w:rPr>
                  <m:t>10lg</m:t>
                </m:r>
                <m:d>
                  <m:dPr>
                    <m:begChr m:val="{"/>
                    <m:endChr m:val="}"/>
                    <m:ctrlPr>
                      <w:rPr>
                        <w:rFonts w:hint="eastAsia" w:ascii="Cambria Math" w:hAnsi="Cambria Math"/>
                        <w:highlight w:val="none"/>
                        <w:lang w:eastAsia="zh-CN"/>
                      </w:rPr>
                    </m:ctrlPr>
                  </m:dPr>
                  <m:e>
                    <m:nary>
                      <m:naryPr>
                        <m:chr m:val="∑"/>
                        <m:limLoc m:val="undOvr"/>
                        <m:ctrlPr>
                          <w:rPr>
                            <w:rFonts w:hint="eastAsia" w:ascii="Cambria Math" w:hAnsi="Cambria Math"/>
                            <w:highlight w:val="none"/>
                            <w:lang w:eastAsia="zh-CN"/>
                          </w:rPr>
                        </m:ctrlPr>
                      </m:naryPr>
                      <m:sub>
                        <m:r>
                          <m:rPr>
                            <m:sty m:val="p"/>
                          </m:rPr>
                          <w:rPr>
                            <w:rFonts w:ascii="Cambria Math" w:hAnsi="Cambria Math"/>
                            <w:highlight w:val="none"/>
                            <w:lang w:eastAsia="zh-CN"/>
                          </w:rPr>
                          <m:t>i=1</m:t>
                        </m:r>
                        <m:ctrlPr>
                          <w:rPr>
                            <w:rFonts w:hint="eastAsia" w:ascii="Cambria Math" w:hAnsi="Cambria Math"/>
                            <w:highlight w:val="none"/>
                            <w:lang w:eastAsia="zh-CN"/>
                          </w:rPr>
                        </m:ctrlPr>
                      </m:sub>
                      <m:sup>
                        <m:r>
                          <m:rPr>
                            <m:sty m:val="p"/>
                          </m:rPr>
                          <w:rPr>
                            <w:rFonts w:ascii="Cambria Math" w:hAnsi="Cambria Math"/>
                            <w:highlight w:val="none"/>
                            <w:lang w:eastAsia="zh-CN"/>
                          </w:rPr>
                          <m:t>8</m:t>
                        </m:r>
                        <m:ctrlPr>
                          <w:rPr>
                            <w:rFonts w:hint="eastAsia" w:ascii="Cambria Math" w:hAnsi="Cambria Math"/>
                            <w:highlight w:val="none"/>
                            <w:lang w:eastAsia="zh-CN"/>
                          </w:rPr>
                        </m:ctrlPr>
                      </m:sup>
                      <m:e>
                        <m:sSup>
                          <m:sSupPr>
                            <m:ctrlPr>
                              <w:rPr>
                                <w:rFonts w:hint="eastAsia" w:ascii="Cambria Math" w:hAnsi="Cambria Math"/>
                                <w:highlight w:val="none"/>
                                <w:lang w:eastAsia="zh-CN"/>
                              </w:rPr>
                            </m:ctrlPr>
                          </m:sSupPr>
                          <m:e>
                            <m:r>
                              <m:rPr>
                                <m:sty m:val="p"/>
                              </m:rPr>
                              <w:rPr>
                                <w:rFonts w:ascii="Cambria Math" w:hAnsi="Cambria Math"/>
                                <w:highlight w:val="none"/>
                                <w:lang w:eastAsia="zh-CN"/>
                              </w:rPr>
                              <m:t>10</m:t>
                            </m:r>
                            <m:ctrlPr>
                              <w:rPr>
                                <w:rFonts w:hint="eastAsia" w:ascii="Cambria Math" w:hAnsi="Cambria Math"/>
                                <w:highlight w:val="none"/>
                                <w:lang w:eastAsia="zh-CN"/>
                              </w:rPr>
                            </m:ctrlPr>
                          </m:e>
                          <m:sup>
                            <m:d>
                              <m:dPr>
                                <m:begChr m:val="["/>
                                <m:endChr m:val="]"/>
                                <m:ctrlPr>
                                  <w:rPr>
                                    <w:rFonts w:hint="eastAsia" w:ascii="Cambria Math" w:hAnsi="Cambria Math"/>
                                    <w:highlight w:val="none"/>
                                    <w:lang w:eastAsia="zh-CN"/>
                                  </w:rPr>
                                </m:ctrlPr>
                              </m:dPr>
                              <m:e>
                                <m:r>
                                  <m:rPr>
                                    <m:sty m:val="p"/>
                                  </m:rPr>
                                  <w:rPr>
                                    <w:rFonts w:ascii="Cambria Math" w:hAnsi="Cambria Math"/>
                                    <w:highlight w:val="none"/>
                                    <w:lang w:eastAsia="zh-CN"/>
                                  </w:rPr>
                                  <m:t>0.1</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pi</m:t>
                                    </m:r>
                                    <m:ctrlPr>
                                      <w:rPr>
                                        <w:rFonts w:ascii="Cambria Math" w:hAnsi="Cambria Math"/>
                                        <w:highlight w:val="none"/>
                                        <w:lang w:eastAsia="zh-CN"/>
                                      </w:rPr>
                                    </m:ctrlPr>
                                  </m:sub>
                                </m:sSub>
                                <m:d>
                                  <m:dPr>
                                    <m:ctrlPr>
                                      <w:rPr>
                                        <w:rFonts w:ascii="Cambria Math" w:hAnsi="Cambria Math"/>
                                        <w:highlight w:val="none"/>
                                        <w:lang w:eastAsia="zh-CN"/>
                                      </w:rPr>
                                    </m:ctrlPr>
                                  </m:dPr>
                                  <m:e>
                                    <m:r>
                                      <m:rPr>
                                        <m:sty m:val="p"/>
                                      </m:rPr>
                                      <w:rPr>
                                        <w:rFonts w:ascii="Cambria Math" w:hAnsi="Cambria Math"/>
                                        <w:highlight w:val="none"/>
                                        <w:lang w:eastAsia="zh-CN"/>
                                      </w:rPr>
                                      <m:t>r</m:t>
                                    </m:r>
                                    <m:ctrlPr>
                                      <w:rPr>
                                        <w:rFonts w:ascii="Cambria Math" w:hAnsi="Cambria Math"/>
                                        <w:highlight w:val="none"/>
                                        <w:lang w:eastAsia="zh-CN"/>
                                      </w:rPr>
                                    </m:ctrlPr>
                                  </m:e>
                                </m:d>
                                <m:r>
                                  <m:rPr>
                                    <m:sty m:val="p"/>
                                  </m:rPr>
                                  <w:rPr>
                                    <w:rFonts w:ascii="Cambria Math" w:hAnsi="Cambria Math"/>
                                    <w:highlight w:val="none"/>
                                    <w:lang w:eastAsia="zh-CN"/>
                                  </w:rPr>
                                  <m:t>−</m:t>
                                </m:r>
                                <m:r>
                                  <m:rPr>
                                    <m:sty m:val="p"/>
                                  </m:rPr>
                                  <w:rPr>
                                    <w:rFonts w:ascii="Cambria Math" w:hAnsi="Cambria Math"/>
                                    <w:highlight w:val="none"/>
                                  </w:rPr>
                                  <m:t>∆</m:t>
                                </m:r>
                                <m:sSub>
                                  <m:sSubPr>
                                    <m:ctrlPr>
                                      <w:rPr>
                                        <w:rFonts w:ascii="Cambria Math" w:hAnsi="Cambria Math"/>
                                        <w:highlight w:val="none"/>
                                      </w:rPr>
                                    </m:ctrlPr>
                                  </m:sSubPr>
                                  <m:e>
                                    <m:r>
                                      <m:rPr>
                                        <m:sty m:val="p"/>
                                      </m:rPr>
                                      <w:rPr>
                                        <w:rFonts w:ascii="Cambria Math" w:hAnsi="Cambria Math"/>
                                        <w:highlight w:val="none"/>
                                        <w:lang w:eastAsia="zh-CN"/>
                                      </w:rPr>
                                      <m:t>L</m:t>
                                    </m:r>
                                    <m:ctrlPr>
                                      <w:rPr>
                                        <w:rFonts w:ascii="Cambria Math" w:hAnsi="Cambria Math"/>
                                        <w:highlight w:val="none"/>
                                      </w:rPr>
                                    </m:ctrlPr>
                                  </m:e>
                                  <m:sub>
                                    <m:r>
                                      <m:rPr>
                                        <m:sty m:val="p"/>
                                      </m:rPr>
                                      <w:rPr>
                                        <w:rFonts w:ascii="Cambria Math" w:hAnsi="Cambria Math"/>
                                        <w:highlight w:val="none"/>
                                        <w:lang w:eastAsia="zh-CN"/>
                                      </w:rPr>
                                      <m:t>Pi</m:t>
                                    </m:r>
                                    <m:ctrlPr>
                                      <w:rPr>
                                        <w:rFonts w:ascii="Cambria Math" w:hAnsi="Cambria Math"/>
                                        <w:highlight w:val="none"/>
                                      </w:rPr>
                                    </m:ctrlPr>
                                  </m:sub>
                                </m:sSub>
                                <m:ctrlPr>
                                  <w:rPr>
                                    <w:rFonts w:hint="eastAsia" w:ascii="Cambria Math" w:hAnsi="Cambria Math"/>
                                    <w:highlight w:val="none"/>
                                    <w:lang w:eastAsia="zh-CN"/>
                                  </w:rPr>
                                </m:ctrlPr>
                              </m:e>
                            </m:d>
                            <m:ctrlPr>
                              <w:rPr>
                                <w:rFonts w:hint="eastAsia" w:ascii="Cambria Math" w:hAnsi="Cambria Math"/>
                                <w:highlight w:val="none"/>
                                <w:lang w:eastAsia="zh-CN"/>
                              </w:rPr>
                            </m:ctrlPr>
                          </m:sup>
                        </m:sSup>
                        <m:ctrlPr>
                          <w:rPr>
                            <w:rFonts w:hint="eastAsia" w:ascii="Cambria Math" w:hAnsi="Cambria Math"/>
                            <w:highlight w:val="none"/>
                            <w:lang w:eastAsia="zh-CN"/>
                          </w:rPr>
                        </m:ctrlPr>
                      </m:e>
                    </m:nary>
                    <m:ctrlPr>
                      <w:rPr>
                        <w:rFonts w:hint="eastAsia" w:ascii="Cambria Math" w:hAnsi="Cambria Math"/>
                        <w:highlight w:val="none"/>
                        <w:lang w:eastAsia="zh-CN"/>
                      </w:rPr>
                    </m:ctrlPr>
                  </m:e>
                </m:d>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式中：L</w:t>
            </w:r>
            <w:r>
              <w:rPr>
                <w:highlight w:val="none"/>
                <w:vertAlign w:val="subscript"/>
                <w:lang w:eastAsia="zh-CN"/>
              </w:rPr>
              <w:t>Pi</w:t>
            </w:r>
            <w:r>
              <w:rPr>
                <w:highlight w:val="none"/>
                <w:lang w:eastAsia="zh-CN"/>
              </w:rPr>
              <w:t>（r）——预测点（r）处，第i倍频带声压级，dB；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mc:AlternateContent>
                <mc:Choice Requires="wps">
                  <w:drawing>
                    <wp:anchor distT="0" distB="0" distL="114300" distR="114300" simplePos="0" relativeHeight="251659264" behindDoc="0" locked="0" layoutInCell="1" allowOverlap="1">
                      <wp:simplePos x="0" y="0"/>
                      <wp:positionH relativeFrom="column">
                        <wp:posOffset>370205</wp:posOffset>
                      </wp:positionH>
                      <wp:positionV relativeFrom="paragraph">
                        <wp:posOffset>56515</wp:posOffset>
                      </wp:positionV>
                      <wp:extent cx="75565" cy="79375"/>
                      <wp:effectExtent l="7620" t="10795" r="12065" b="5080"/>
                      <wp:wrapNone/>
                      <wp:docPr id="2" name="等腰三角形 2"/>
                      <wp:cNvGraphicFramePr/>
                      <a:graphic xmlns:a="http://schemas.openxmlformats.org/drawingml/2006/main">
                        <a:graphicData uri="http://schemas.microsoft.com/office/word/2010/wordprocessingShape">
                          <wps:wsp>
                            <wps:cNvSpPr/>
                            <wps:spPr>
                              <a:xfrm>
                                <a:off x="0" y="0"/>
                                <a:ext cx="75565" cy="79375"/>
                              </a:xfrm>
                              <a:prstGeom prst="triangle">
                                <a:avLst>
                                  <a:gd name="adj" fmla="val 50000"/>
                                </a:avLst>
                              </a:prstGeom>
                              <a:noFill/>
                              <a:ln w="9525" cap="flat" cmpd="sng">
                                <a:solidFill>
                                  <a:srgbClr val="000000"/>
                                </a:solidFill>
                                <a:prstDash val="solid"/>
                                <a:miter/>
                                <a:headEnd type="none" w="med" len="med"/>
                                <a:tailEnd type="none" w="med" len="med"/>
                              </a:ln>
                              <a:effectLst/>
                            </wps:spPr>
                            <wps:txbx>
                              <w:txbxContent>
                                <w:p>
                                  <w:pPr>
                                    <w:widowControl w:val="0"/>
                                    <w:kinsoku/>
                                    <w:autoSpaceDE/>
                                    <w:autoSpaceDN/>
                                    <w:adjustRightInd/>
                                    <w:snapToGrid/>
                                    <w:jc w:val="both"/>
                                    <w:textAlignment w:val="auto"/>
                                    <w:rPr>
                                      <w:rFonts w:cs="Times New Roman"/>
                                      <w:snapToGrid/>
                                      <w:kern w:val="2"/>
                                      <w:lang w:eastAsia="zh-CN"/>
                                    </w:rPr>
                                  </w:pPr>
                                </w:p>
                              </w:txbxContent>
                            </wps:txbx>
                            <wps:bodyPr upright="1"/>
                          </wps:wsp>
                        </a:graphicData>
                      </a:graphic>
                    </wp:anchor>
                  </w:drawing>
                </mc:Choice>
                <mc:Fallback>
                  <w:pict>
                    <v:shape id="_x0000_s1026" o:spid="_x0000_s1026" o:spt="5" type="#_x0000_t5" style="position:absolute;left:0pt;margin-left:29.15pt;margin-top:4.45pt;height:6.25pt;width:5.95pt;z-index:251659264;mso-width-relative:page;mso-height-relative:page;" filled="f" stroked="t" coordsize="21600,21600" o:gfxdata="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0K//DWAAAABgEAAA8AAAAAAAAAAQAgAAAAIgAAAGRycy9kb3ducmV2LnhtbFBLAQIUABQAAAAI&#10;AIdO4kAdodXGKAIAAEQEAAAOAAAAAAAAAAEAIAAAACUBAABkcnMvZTJvRG9jLnhtbFBLBQYAAAAA&#10;BgAGAFkBAAC/BQAAAAA=&#10;" adj="10800">
                      <v:fill on="f" focussize="0,0"/>
                      <v:stroke color="#000000" joinstyle="miter"/>
                      <v:imagedata o:title=""/>
                      <o:lock v:ext="edit" aspectratio="f"/>
                      <v:textbox>
                        <w:txbxContent>
                          <w:p>
                            <w:pPr>
                              <w:widowControl w:val="0"/>
                              <w:kinsoku/>
                              <w:autoSpaceDE/>
                              <w:autoSpaceDN/>
                              <w:adjustRightInd/>
                              <w:snapToGrid/>
                              <w:jc w:val="both"/>
                              <w:textAlignment w:val="auto"/>
                              <w:rPr>
                                <w:rFonts w:cs="Times New Roman"/>
                                <w:snapToGrid/>
                                <w:kern w:val="2"/>
                                <w:lang w:eastAsia="zh-CN"/>
                              </w:rPr>
                            </w:pPr>
                          </w:p>
                        </w:txbxContent>
                      </v:textbox>
                    </v:shape>
                  </w:pict>
                </mc:Fallback>
              </mc:AlternateContent>
            </w:r>
            <w:r>
              <w:rPr>
                <w:highlight w:val="none"/>
                <w:lang w:eastAsia="zh-CN"/>
              </w:rPr>
              <w:t>L</w:t>
            </w:r>
            <w:r>
              <w:rPr>
                <w:highlight w:val="none"/>
                <w:vertAlign w:val="subscript"/>
                <w:lang w:eastAsia="zh-CN"/>
              </w:rPr>
              <w:t>Pi</w:t>
            </w:r>
            <w:r>
              <w:rPr>
                <w:highlight w:val="none"/>
                <w:lang w:eastAsia="zh-CN"/>
              </w:rPr>
              <w:t>——i倍频带A计权网络修正值，dB。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在不能取得声源倍频带声功率级或倍频带声压，只能获得A声功率级或某点的A声级时，按如下公式近似计算；</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sSub>
                  <m:sSubPr>
                    <m:ctrlPr>
                      <w:rPr>
                        <w:rFonts w:ascii="Cambria Math" w:hAnsi="Cambria Math"/>
                        <w:highlight w:val="none"/>
                        <w:lang w:val="zh-CN"/>
                      </w:rPr>
                    </m:ctrlPr>
                  </m:sSubPr>
                  <m:e>
                    <m:r>
                      <m:rPr>
                        <m:sty m:val="p"/>
                      </m:rPr>
                      <w:rPr>
                        <w:rFonts w:ascii="Cambria Math" w:hAnsi="Cambria Math"/>
                        <w:highlight w:val="none"/>
                        <w:lang w:eastAsia="zh-CN"/>
                      </w:rPr>
                      <m:t>L</m:t>
                    </m:r>
                    <m:ctrlPr>
                      <w:rPr>
                        <w:rFonts w:ascii="Cambria Math" w:hAnsi="Cambria Math"/>
                        <w:highlight w:val="none"/>
                        <w:lang w:val="zh-CN"/>
                      </w:rPr>
                    </m:ctrlPr>
                  </m:e>
                  <m:sub>
                    <m:r>
                      <m:rPr>
                        <m:sty m:val="p"/>
                      </m:rPr>
                      <w:rPr>
                        <w:rFonts w:ascii="Cambria Math" w:hAnsi="Cambria Math"/>
                        <w:highlight w:val="none"/>
                        <w:lang w:eastAsia="zh-CN"/>
                      </w:rPr>
                      <m:t>A</m:t>
                    </m:r>
                    <m:ctrlPr>
                      <w:rPr>
                        <w:rFonts w:ascii="Cambria Math" w:hAnsi="Cambria Math"/>
                        <w:highlight w:val="none"/>
                        <w:lang w:val="zh-CN"/>
                      </w:rPr>
                    </m:ctrlPr>
                  </m:sub>
                </m:sSub>
                <m:d>
                  <m:dPr>
                    <m:ctrlPr>
                      <w:rPr>
                        <w:rFonts w:ascii="Cambria Math" w:hAnsi="Cambria Math"/>
                        <w:highlight w:val="none"/>
                        <w:lang w:val="zh-CN"/>
                      </w:rPr>
                    </m:ctrlPr>
                  </m:dPr>
                  <m:e>
                    <m:r>
                      <m:rPr>
                        <m:sty m:val="p"/>
                      </m:rPr>
                      <w:rPr>
                        <w:rFonts w:ascii="Cambria Math" w:hAnsi="Cambria Math"/>
                        <w:highlight w:val="none"/>
                        <w:lang w:eastAsia="zh-CN"/>
                      </w:rPr>
                      <m:t>r</m:t>
                    </m:r>
                    <m:ctrlPr>
                      <w:rPr>
                        <w:rFonts w:ascii="Cambria Math" w:hAnsi="Cambria Math"/>
                        <w:highlight w:val="none"/>
                        <w:lang w:val="zh-CN"/>
                      </w:rPr>
                    </m:ctrlPr>
                  </m:e>
                </m:d>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AW</m:t>
                    </m:r>
                    <m:ctrlPr>
                      <w:rPr>
                        <w:rFonts w:ascii="Cambria Math" w:hAnsi="Cambria Math"/>
                        <w:highlight w:val="none"/>
                        <w:lang w:eastAsia="zh-CN"/>
                      </w:rPr>
                    </m:ctrlPr>
                  </m:sub>
                </m:sSub>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D</m:t>
                    </m:r>
                    <m:ctrlPr>
                      <w:rPr>
                        <w:rFonts w:ascii="Cambria Math" w:hAnsi="Cambria Math"/>
                        <w:highlight w:val="none"/>
                        <w:lang w:eastAsia="zh-CN"/>
                      </w:rPr>
                    </m:ctrlPr>
                  </m:e>
                  <m:sub>
                    <m:r>
                      <m:rPr>
                        <m:sty m:val="p"/>
                      </m:rPr>
                      <w:rPr>
                        <w:rFonts w:ascii="Cambria Math" w:hAnsi="Cambria Math"/>
                        <w:highlight w:val="none"/>
                        <w:lang w:eastAsia="zh-CN"/>
                      </w:rPr>
                      <m:t>C</m:t>
                    </m:r>
                    <m:ctrlPr>
                      <w:rPr>
                        <w:rFonts w:ascii="Cambria Math" w:hAnsi="Cambria Math"/>
                        <w:highlight w:val="none"/>
                        <w:lang w:eastAsia="zh-CN"/>
                      </w:rPr>
                    </m:ctrlPr>
                  </m:sub>
                </m:sSub>
                <m:r>
                  <m:rPr>
                    <m:sty m:val="p"/>
                  </m:rPr>
                  <w:rPr>
                    <w:rFonts w:ascii="Cambria Math" w:hAnsi="Cambria Math"/>
                    <w:highlight w:val="none"/>
                    <w:lang w:eastAsia="zh-CN"/>
                  </w:rPr>
                  <m:t>−A</m:t>
                </m:r>
                <m:r>
                  <m:rPr>
                    <m:sty m:val="p"/>
                  </m:rPr>
                  <w:rPr>
                    <w:rFonts w:hint="eastAsia" w:ascii="Cambria Math" w:hAnsi="Cambria Math"/>
                    <w:highlight w:val="none"/>
                    <w:lang w:eastAsia="zh-CN"/>
                  </w:rPr>
                  <m:t>或</m:t>
                </m:r>
                <m:sSub>
                  <m:sSubPr>
                    <m:ctrlPr>
                      <w:rPr>
                        <w:rFonts w:hint="eastAsia" w:ascii="Cambria Math" w:hAnsi="Cambria Math"/>
                        <w:highlight w:val="none"/>
                        <w:lang w:eastAsia="zh-CN"/>
                      </w:rPr>
                    </m:ctrlPr>
                  </m:sSubPr>
                  <m:e>
                    <m:r>
                      <m:rPr>
                        <m:sty m:val="p"/>
                      </m:rPr>
                      <w:rPr>
                        <w:rFonts w:ascii="Cambria Math" w:hAnsi="Cambria Math"/>
                        <w:highlight w:val="none"/>
                        <w:lang w:eastAsia="zh-CN"/>
                      </w:rPr>
                      <m:t>L</m:t>
                    </m:r>
                    <m:ctrlPr>
                      <w:rPr>
                        <w:rFonts w:hint="eastAsia" w:ascii="Cambria Math" w:hAnsi="Cambria Math"/>
                        <w:highlight w:val="none"/>
                        <w:lang w:eastAsia="zh-CN"/>
                      </w:rPr>
                    </m:ctrlPr>
                  </m:e>
                  <m:sub>
                    <m:r>
                      <m:rPr>
                        <m:sty m:val="p"/>
                      </m:rPr>
                      <w:rPr>
                        <w:rFonts w:ascii="Cambria Math" w:hAnsi="Cambria Math"/>
                        <w:highlight w:val="none"/>
                        <w:lang w:eastAsia="zh-CN"/>
                      </w:rPr>
                      <m:t>A</m:t>
                    </m:r>
                    <m:ctrlPr>
                      <w:rPr>
                        <w:rFonts w:hint="eastAsia" w:ascii="Cambria Math" w:hAnsi="Cambria Math"/>
                        <w:highlight w:val="none"/>
                        <w:lang w:eastAsia="zh-CN"/>
                      </w:rPr>
                    </m:ctrlPr>
                  </m:sub>
                </m:sSub>
                <m:d>
                  <m:dPr>
                    <m:ctrlPr>
                      <w:rPr>
                        <w:rFonts w:hint="eastAsia" w:ascii="Cambria Math" w:hAnsi="Cambria Math"/>
                        <w:highlight w:val="none"/>
                        <w:lang w:eastAsia="zh-CN"/>
                      </w:rPr>
                    </m:ctrlPr>
                  </m:dPr>
                  <m:e>
                    <m:r>
                      <m:rPr>
                        <m:sty m:val="p"/>
                      </m:rPr>
                      <w:rPr>
                        <w:rFonts w:ascii="Cambria Math" w:hAnsi="Cambria Math"/>
                        <w:highlight w:val="none"/>
                        <w:lang w:eastAsia="zh-CN"/>
                      </w:rPr>
                      <m:t>r</m:t>
                    </m:r>
                    <m:ctrlPr>
                      <w:rPr>
                        <w:rFonts w:hint="eastAsia" w:ascii="Cambria Math" w:hAnsi="Cambria Math"/>
                        <w:highlight w:val="none"/>
                        <w:lang w:eastAsia="zh-CN"/>
                      </w:rPr>
                    </m:ctrlPr>
                  </m:e>
                </m:d>
                <m:r>
                  <m:rPr>
                    <m:sty m:val="p"/>
                  </m:rPr>
                  <w:rPr>
                    <w:rFonts w:ascii="Cambria Math" w:hAnsi="Cambria Math"/>
                    <w:highlight w:val="none"/>
                    <w:lang w:eastAsia="zh-CN"/>
                  </w:rPr>
                  <m:t>=</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A</m:t>
                    </m:r>
                    <m:ctrlPr>
                      <w:rPr>
                        <w:rFonts w:ascii="Cambria Math" w:hAnsi="Cambria Math"/>
                        <w:highlight w:val="none"/>
                        <w:lang w:eastAsia="zh-CN"/>
                      </w:rPr>
                    </m:ctrlPr>
                  </m:sub>
                </m:sSub>
                <m:d>
                  <m:dPr>
                    <m:ctrlPr>
                      <w:rPr>
                        <w:rFonts w:ascii="Cambria Math" w:hAnsi="Cambria Math"/>
                        <w:highlight w:val="none"/>
                        <w:lang w:eastAsia="zh-CN"/>
                      </w:rPr>
                    </m:ctrlPr>
                  </m:dPr>
                  <m:e>
                    <m:sSub>
                      <m:sSubPr>
                        <m:ctrlPr>
                          <w:rPr>
                            <w:rFonts w:ascii="Cambria Math" w:hAnsi="Cambria Math"/>
                            <w:highlight w:val="none"/>
                            <w:lang w:eastAsia="zh-CN"/>
                          </w:rPr>
                        </m:ctrlPr>
                      </m:sSubPr>
                      <m:e>
                        <m:r>
                          <m:rPr>
                            <m:sty m:val="p"/>
                          </m:rPr>
                          <w:rPr>
                            <w:rFonts w:ascii="Cambria Math" w:hAnsi="Cambria Math"/>
                            <w:highlight w:val="none"/>
                            <w:lang w:eastAsia="zh-CN"/>
                          </w:rPr>
                          <m:t>r</m:t>
                        </m:r>
                        <m:ctrlPr>
                          <w:rPr>
                            <w:rFonts w:ascii="Cambria Math" w:hAnsi="Cambria Math"/>
                            <w:highlight w:val="none"/>
                            <w:lang w:eastAsia="zh-CN"/>
                          </w:rPr>
                        </m:ctrlPr>
                      </m:e>
                      <m:sub>
                        <m:r>
                          <m:rPr>
                            <m:sty m:val="p"/>
                          </m:rPr>
                          <w:rPr>
                            <w:rFonts w:ascii="Cambria Math" w:hAnsi="Cambria Math"/>
                            <w:highlight w:val="none"/>
                            <w:lang w:eastAsia="zh-CN"/>
                          </w:rPr>
                          <m:t>0</m:t>
                        </m:r>
                        <m:ctrlPr>
                          <w:rPr>
                            <w:rFonts w:ascii="Cambria Math" w:hAnsi="Cambria Math"/>
                            <w:highlight w:val="none"/>
                            <w:lang w:eastAsia="zh-CN"/>
                          </w:rPr>
                        </m:ctrlPr>
                      </m:sub>
                    </m:sSub>
                    <m:ctrlPr>
                      <w:rPr>
                        <w:rFonts w:ascii="Cambria Math" w:hAnsi="Cambria Math"/>
                        <w:highlight w:val="none"/>
                        <w:lang w:eastAsia="zh-CN"/>
                      </w:rPr>
                    </m:ctrlPr>
                  </m:e>
                </m:d>
                <m:r>
                  <m:rPr>
                    <m:sty m:val="p"/>
                  </m:rPr>
                  <w:rPr>
                    <w:rFonts w:ascii="Cambria Math" w:hAnsi="Cambria Math"/>
                    <w:highlight w:val="none"/>
                    <w:lang w:eastAsia="zh-CN"/>
                  </w:rPr>
                  <m:t>−A</m:t>
                </m:r>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可选择对A声级影响最大的倍频带计算，一般可选中心频率为500</w:t>
            </w:r>
            <w:r>
              <w:rPr>
                <w:rFonts w:hint="eastAsia"/>
                <w:highlight w:val="none"/>
                <w:lang w:eastAsia="zh-CN"/>
              </w:rPr>
              <w:t>Hz</w:t>
            </w:r>
            <w:r>
              <w:rPr>
                <w:highlight w:val="none"/>
                <w:lang w:eastAsia="zh-CN"/>
              </w:rPr>
              <w:t>的倍频带作估算。</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③各种因素引起的衰减量计算</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a.几何发散衰减：</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sSub>
                  <m:sSubPr>
                    <m:ctrlPr>
                      <w:rPr>
                        <w:rFonts w:ascii="Cambria Math" w:hAnsi="Cambria Math"/>
                        <w:highlight w:val="none"/>
                      </w:rPr>
                    </m:ctrlPr>
                  </m:sSubPr>
                  <m:e>
                    <m:r>
                      <m:rPr>
                        <m:sty m:val="p"/>
                      </m:rPr>
                      <w:rPr>
                        <w:rFonts w:ascii="Cambria Math" w:hAnsi="Cambria Math"/>
                        <w:highlight w:val="none"/>
                        <w:lang w:eastAsia="zh-CN"/>
                      </w:rPr>
                      <m:t>A</m:t>
                    </m:r>
                    <m:ctrlPr>
                      <w:rPr>
                        <w:rFonts w:ascii="Cambria Math" w:hAnsi="Cambria Math"/>
                        <w:highlight w:val="none"/>
                      </w:rPr>
                    </m:ctrlPr>
                  </m:e>
                  <m:sub>
                    <m:r>
                      <m:rPr>
                        <m:sty m:val="p"/>
                      </m:rPr>
                      <w:rPr>
                        <w:rFonts w:ascii="Cambria Math" w:hAnsi="Cambria Math"/>
                        <w:highlight w:val="none"/>
                        <w:lang w:eastAsia="zh-CN"/>
                      </w:rPr>
                      <m:t>div</m:t>
                    </m:r>
                    <m:ctrlPr>
                      <w:rPr>
                        <w:rFonts w:ascii="Cambria Math" w:hAnsi="Cambria Math"/>
                        <w:highlight w:val="none"/>
                      </w:rPr>
                    </m:ctrlPr>
                  </m:sub>
                </m:sSub>
                <m:r>
                  <m:rPr>
                    <m:sty m:val="p"/>
                  </m:rPr>
                  <w:rPr>
                    <w:rFonts w:ascii="Cambria Math" w:hAnsi="Cambria Math"/>
                    <w:highlight w:val="none"/>
                    <w:lang w:eastAsia="zh-CN"/>
                  </w:rPr>
                  <m:t>=20</m:t>
                </m:r>
                <m:r>
                  <m:rPr>
                    <m:sty m:val="p"/>
                  </m:rPr>
                  <w:rPr>
                    <w:rFonts w:ascii="Cambria Math" w:hAnsi="Cambria Math"/>
                    <w:highlight w:val="none"/>
                  </w:rPr>
                  <m:t>×</m:t>
                </m:r>
                <m:r>
                  <m:rPr>
                    <m:sty m:val="p"/>
                  </m:rPr>
                  <w:rPr>
                    <w:rFonts w:ascii="Cambria Math" w:hAnsi="Cambria Math"/>
                    <w:highlight w:val="none"/>
                    <w:lang w:eastAsia="zh-CN"/>
                  </w:rPr>
                  <m:t>lg</m:t>
                </m:r>
                <m:d>
                  <m:dPr>
                    <m:ctrlPr>
                      <w:rPr>
                        <w:rFonts w:ascii="Cambria Math" w:hAnsi="Cambria Math"/>
                        <w:highlight w:val="none"/>
                        <w:lang w:eastAsia="zh-CN"/>
                      </w:rPr>
                    </m:ctrlPr>
                  </m:dPr>
                  <m:e>
                    <m:f>
                      <m:fPr>
                        <m:type m:val="lin"/>
                        <m:ctrlPr>
                          <w:rPr>
                            <w:rFonts w:ascii="Cambria Math" w:hAnsi="Cambria Math"/>
                            <w:highlight w:val="none"/>
                            <w:lang w:eastAsia="zh-CN"/>
                          </w:rPr>
                        </m:ctrlPr>
                      </m:fPr>
                      <m:num>
                        <m:r>
                          <m:rPr>
                            <m:sty m:val="p"/>
                          </m:rPr>
                          <w:rPr>
                            <w:rFonts w:ascii="Cambria Math" w:hAnsi="Cambria Math"/>
                            <w:highlight w:val="none"/>
                            <w:lang w:eastAsia="zh-CN"/>
                          </w:rPr>
                          <m:t>r</m:t>
                        </m:r>
                        <m:ctrlPr>
                          <w:rPr>
                            <w:rFonts w:ascii="Cambria Math" w:hAnsi="Cambria Math"/>
                            <w:highlight w:val="none"/>
                            <w:lang w:eastAsia="zh-CN"/>
                          </w:rPr>
                        </m:ctrlPr>
                      </m:num>
                      <m:den>
                        <m:sSub>
                          <m:sSubPr>
                            <m:ctrlPr>
                              <w:rPr>
                                <w:rFonts w:ascii="Cambria Math" w:hAnsi="Cambria Math"/>
                                <w:highlight w:val="none"/>
                                <w:lang w:eastAsia="zh-CN"/>
                              </w:rPr>
                            </m:ctrlPr>
                          </m:sSubPr>
                          <m:e>
                            <m:r>
                              <m:rPr>
                                <m:sty m:val="p"/>
                              </m:rPr>
                              <w:rPr>
                                <w:rFonts w:ascii="Cambria Math" w:hAnsi="Cambria Math"/>
                                <w:highlight w:val="none"/>
                                <w:lang w:eastAsia="zh-CN"/>
                              </w:rPr>
                              <m:t>r</m:t>
                            </m:r>
                            <m:ctrlPr>
                              <w:rPr>
                                <w:rFonts w:ascii="Cambria Math" w:hAnsi="Cambria Math"/>
                                <w:highlight w:val="none"/>
                                <w:lang w:eastAsia="zh-CN"/>
                              </w:rPr>
                            </m:ctrlPr>
                          </m:e>
                          <m:sub>
                            <m:r>
                              <m:rPr>
                                <m:sty m:val="p"/>
                              </m:rPr>
                              <w:rPr>
                                <w:rFonts w:ascii="Cambria Math" w:hAnsi="Cambria Math"/>
                                <w:highlight w:val="none"/>
                                <w:lang w:eastAsia="zh-CN"/>
                              </w:rPr>
                              <m:t>0</m:t>
                            </m:r>
                            <m:ctrlPr>
                              <w:rPr>
                                <w:rFonts w:ascii="Cambria Math" w:hAnsi="Cambria Math"/>
                                <w:highlight w:val="none"/>
                                <w:lang w:eastAsia="zh-CN"/>
                              </w:rPr>
                            </m:ctrlPr>
                          </m:sub>
                        </m:sSub>
                        <m:ctrlPr>
                          <w:rPr>
                            <w:rFonts w:ascii="Cambria Math" w:hAnsi="Cambria Math"/>
                            <w:highlight w:val="none"/>
                            <w:lang w:eastAsia="zh-CN"/>
                          </w:rPr>
                        </m:ctrlPr>
                      </m:den>
                    </m:f>
                    <m:ctrlPr>
                      <w:rPr>
                        <w:rFonts w:ascii="Cambria Math" w:hAnsi="Cambria Math"/>
                        <w:highlight w:val="none"/>
                        <w:lang w:eastAsia="zh-CN"/>
                      </w:rPr>
                    </m:ctrlPr>
                  </m:e>
                </m:d>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b.空气吸收引起的衰减量：</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sSub>
                  <m:sSubPr>
                    <m:ctrlPr>
                      <w:rPr>
                        <w:rFonts w:ascii="Cambria Math" w:hAnsi="Cambria Math"/>
                        <w:highlight w:val="none"/>
                      </w:rPr>
                    </m:ctrlPr>
                  </m:sSubPr>
                  <m:e>
                    <m:r>
                      <m:rPr>
                        <m:sty m:val="p"/>
                      </m:rPr>
                      <w:rPr>
                        <w:rFonts w:ascii="Cambria Math" w:hAnsi="Cambria Math"/>
                        <w:highlight w:val="none"/>
                        <w:lang w:eastAsia="zh-CN"/>
                      </w:rPr>
                      <m:t>A</m:t>
                    </m:r>
                    <m:ctrlPr>
                      <w:rPr>
                        <w:rFonts w:ascii="Cambria Math" w:hAnsi="Cambria Math"/>
                        <w:highlight w:val="none"/>
                      </w:rPr>
                    </m:ctrlPr>
                  </m:e>
                  <m:sub>
                    <m:r>
                      <m:rPr>
                        <m:sty m:val="p"/>
                      </m:rPr>
                      <w:rPr>
                        <w:rFonts w:ascii="Cambria Math" w:hAnsi="Cambria Math"/>
                        <w:highlight w:val="none"/>
                        <w:lang w:eastAsia="zh-CN"/>
                      </w:rPr>
                      <m:t>atm</m:t>
                    </m:r>
                    <m:ctrlPr>
                      <w:rPr>
                        <w:rFonts w:ascii="Cambria Math" w:hAnsi="Cambria Math"/>
                        <w:highlight w:val="none"/>
                      </w:rPr>
                    </m:ctrlPr>
                  </m:sub>
                </m:sSub>
                <m:r>
                  <m:rPr>
                    <m:sty m:val="p"/>
                  </m:rPr>
                  <w:rPr>
                    <w:rFonts w:ascii="Cambria Math" w:hAnsi="Cambria Math"/>
                    <w:highlight w:val="none"/>
                    <w:lang w:eastAsia="zh-CN"/>
                  </w:rPr>
                  <m:t>=α×</m:t>
                </m:r>
                <m:d>
                  <m:dPr>
                    <m:ctrlPr>
                      <w:rPr>
                        <w:rFonts w:ascii="Cambria Math" w:hAnsi="Cambria Math"/>
                        <w:highlight w:val="none"/>
                        <w:lang w:eastAsia="zh-CN"/>
                      </w:rPr>
                    </m:ctrlPr>
                  </m:dPr>
                  <m:e>
                    <m:r>
                      <m:rPr>
                        <m:sty m:val="p"/>
                      </m:rPr>
                      <w:rPr>
                        <w:rFonts w:ascii="Cambria Math" w:hAnsi="Cambria Math"/>
                        <w:highlight w:val="none"/>
                        <w:lang w:eastAsia="zh-CN"/>
                      </w:rPr>
                      <m:t>r−</m:t>
                    </m:r>
                    <m:sSub>
                      <m:sSubPr>
                        <m:ctrlPr>
                          <w:rPr>
                            <w:rFonts w:ascii="Cambria Math" w:hAnsi="Cambria Math"/>
                            <w:highlight w:val="none"/>
                            <w:lang w:eastAsia="zh-CN"/>
                          </w:rPr>
                        </m:ctrlPr>
                      </m:sSubPr>
                      <m:e>
                        <m:r>
                          <m:rPr>
                            <m:sty m:val="p"/>
                          </m:rPr>
                          <w:rPr>
                            <w:rFonts w:ascii="Cambria Math" w:hAnsi="Cambria Math"/>
                            <w:highlight w:val="none"/>
                            <w:lang w:eastAsia="zh-CN"/>
                          </w:rPr>
                          <m:t>r</m:t>
                        </m:r>
                        <m:ctrlPr>
                          <w:rPr>
                            <w:rFonts w:ascii="Cambria Math" w:hAnsi="Cambria Math"/>
                            <w:highlight w:val="none"/>
                            <w:lang w:eastAsia="zh-CN"/>
                          </w:rPr>
                        </m:ctrlPr>
                      </m:e>
                      <m:sub>
                        <m:r>
                          <m:rPr>
                            <m:sty m:val="p"/>
                          </m:rPr>
                          <w:rPr>
                            <w:rFonts w:ascii="Cambria Math" w:hAnsi="Cambria Math"/>
                            <w:highlight w:val="none"/>
                            <w:lang w:eastAsia="zh-CN"/>
                          </w:rPr>
                          <m:t>0</m:t>
                        </m:r>
                        <m:ctrlPr>
                          <w:rPr>
                            <w:rFonts w:ascii="Cambria Math" w:hAnsi="Cambria Math"/>
                            <w:highlight w:val="none"/>
                            <w:lang w:eastAsia="zh-CN"/>
                          </w:rPr>
                        </m:ctrlPr>
                      </m:sub>
                    </m:sSub>
                    <m:ctrlPr>
                      <w:rPr>
                        <w:rFonts w:ascii="Cambria Math" w:hAnsi="Cambria Math"/>
                        <w:highlight w:val="none"/>
                        <w:lang w:eastAsia="zh-CN"/>
                      </w:rPr>
                    </m:ctrlPr>
                  </m:e>
                </m:d>
                <m:r>
                  <m:rPr>
                    <m:sty m:val="p"/>
                  </m:rPr>
                  <w:rPr>
                    <w:rFonts w:ascii="Cambria Math" w:hAnsi="Cambria Math"/>
                    <w:highlight w:val="none"/>
                    <w:lang w:eastAsia="zh-CN"/>
                  </w:rPr>
                  <m:t>/1000</m:t>
                </m:r>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式中：α——空气吸收系数，km/dB。</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c.地面效应引起的衰减量：</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sSub>
                  <m:sSubPr>
                    <m:ctrlPr>
                      <w:rPr>
                        <w:rFonts w:ascii="Cambria Math" w:hAnsi="Cambria Math"/>
                        <w:highlight w:val="none"/>
                      </w:rPr>
                    </m:ctrlPr>
                  </m:sSubPr>
                  <m:e>
                    <m:r>
                      <m:rPr>
                        <m:sty m:val="p"/>
                      </m:rPr>
                      <w:rPr>
                        <w:rFonts w:ascii="Cambria Math" w:hAnsi="Cambria Math"/>
                        <w:highlight w:val="none"/>
                        <w:lang w:eastAsia="zh-CN"/>
                      </w:rPr>
                      <m:t>A</m:t>
                    </m:r>
                    <m:ctrlPr>
                      <w:rPr>
                        <w:rFonts w:ascii="Cambria Math" w:hAnsi="Cambria Math"/>
                        <w:highlight w:val="none"/>
                      </w:rPr>
                    </m:ctrlPr>
                  </m:e>
                  <m:sub>
                    <m:r>
                      <m:rPr>
                        <m:sty m:val="p"/>
                      </m:rPr>
                      <w:rPr>
                        <w:rFonts w:ascii="Cambria Math" w:hAnsi="Cambria Math"/>
                        <w:highlight w:val="none"/>
                        <w:lang w:eastAsia="zh-CN"/>
                      </w:rPr>
                      <m:t>gr</m:t>
                    </m:r>
                    <m:ctrlPr>
                      <w:rPr>
                        <w:rFonts w:ascii="Cambria Math" w:hAnsi="Cambria Math"/>
                        <w:highlight w:val="none"/>
                      </w:rPr>
                    </m:ctrlPr>
                  </m:sub>
                </m:sSub>
                <m:r>
                  <m:rPr>
                    <m:sty m:val="p"/>
                  </m:rPr>
                  <w:rPr>
                    <w:rFonts w:ascii="Cambria Math" w:hAnsi="Cambria Math"/>
                    <w:highlight w:val="none"/>
                    <w:lang w:eastAsia="zh-CN"/>
                  </w:rPr>
                  <m:t>=4.8−</m:t>
                </m:r>
                <m:d>
                  <m:dPr>
                    <m:ctrlPr>
                      <w:rPr>
                        <w:rFonts w:ascii="Cambria Math" w:hAnsi="Cambria Math"/>
                        <w:highlight w:val="none"/>
                        <w:lang w:eastAsia="zh-CN"/>
                      </w:rPr>
                    </m:ctrlPr>
                  </m:dPr>
                  <m:e>
                    <m:r>
                      <m:rPr>
                        <m:sty m:val="p"/>
                      </m:rPr>
                      <w:rPr>
                        <w:rFonts w:ascii="Cambria Math" w:hAnsi="Cambria Math"/>
                        <w:highlight w:val="none"/>
                        <w:lang w:eastAsia="zh-CN"/>
                      </w:rPr>
                      <m:t>2</m:t>
                    </m:r>
                    <m:f>
                      <m:fPr>
                        <m:type m:val="lin"/>
                        <m:ctrlPr>
                          <w:rPr>
                            <w:rFonts w:ascii="Cambria Math" w:hAnsi="Cambria Math"/>
                            <w:highlight w:val="none"/>
                            <w:lang w:eastAsia="zh-CN"/>
                          </w:rPr>
                        </m:ctrlPr>
                      </m:fPr>
                      <m:num>
                        <m:sSub>
                          <m:sSubPr>
                            <m:ctrlPr>
                              <w:rPr>
                                <w:rFonts w:ascii="Cambria Math" w:hAnsi="Cambria Math"/>
                                <w:highlight w:val="none"/>
                                <w:lang w:eastAsia="zh-CN"/>
                              </w:rPr>
                            </m:ctrlPr>
                          </m:sSubPr>
                          <m:e>
                            <m:r>
                              <m:rPr>
                                <m:sty m:val="p"/>
                              </m:rPr>
                              <w:rPr>
                                <w:rFonts w:ascii="Cambria Math" w:hAnsi="Cambria Math"/>
                                <w:highlight w:val="none"/>
                                <w:lang w:eastAsia="zh-CN"/>
                              </w:rPr>
                              <m:t>h</m:t>
                            </m:r>
                            <m:ctrlPr>
                              <w:rPr>
                                <w:rFonts w:ascii="Cambria Math" w:hAnsi="Cambria Math"/>
                                <w:highlight w:val="none"/>
                                <w:lang w:eastAsia="zh-CN"/>
                              </w:rPr>
                            </m:ctrlPr>
                          </m:e>
                          <m:sub>
                            <m:r>
                              <m:rPr>
                                <m:sty m:val="p"/>
                              </m:rPr>
                              <w:rPr>
                                <w:rFonts w:ascii="Cambria Math" w:hAnsi="Cambria Math"/>
                                <w:highlight w:val="none"/>
                                <w:lang w:eastAsia="zh-CN"/>
                              </w:rPr>
                              <m:t>m</m:t>
                            </m:r>
                            <m:ctrlPr>
                              <w:rPr>
                                <w:rFonts w:ascii="Cambria Math" w:hAnsi="Cambria Math"/>
                                <w:highlight w:val="none"/>
                                <w:lang w:eastAsia="zh-CN"/>
                              </w:rPr>
                            </m:ctrlPr>
                          </m:sub>
                        </m:sSub>
                        <m:ctrlPr>
                          <w:rPr>
                            <w:rFonts w:ascii="Cambria Math" w:hAnsi="Cambria Math"/>
                            <w:highlight w:val="none"/>
                            <w:lang w:eastAsia="zh-CN"/>
                          </w:rPr>
                        </m:ctrlPr>
                      </m:num>
                      <m:den>
                        <m:r>
                          <m:rPr>
                            <m:sty m:val="p"/>
                          </m:rPr>
                          <w:rPr>
                            <w:rFonts w:ascii="Cambria Math" w:hAnsi="Cambria Math"/>
                            <w:highlight w:val="none"/>
                            <w:lang w:eastAsia="zh-CN"/>
                          </w:rPr>
                          <m:t>r</m:t>
                        </m:r>
                        <m:ctrlPr>
                          <w:rPr>
                            <w:rFonts w:ascii="Cambria Math" w:hAnsi="Cambria Math"/>
                            <w:highlight w:val="none"/>
                            <w:lang w:eastAsia="zh-CN"/>
                          </w:rPr>
                        </m:ctrlPr>
                      </m:den>
                    </m:f>
                    <m:ctrlPr>
                      <w:rPr>
                        <w:rFonts w:ascii="Cambria Math" w:hAnsi="Cambria Math"/>
                        <w:highlight w:val="none"/>
                        <w:lang w:eastAsia="zh-CN"/>
                      </w:rPr>
                    </m:ctrlPr>
                  </m:e>
                </m:d>
                <m:r>
                  <m:rPr>
                    <m:sty m:val="p"/>
                  </m:rPr>
                  <w:rPr>
                    <w:rFonts w:ascii="Cambria Math" w:hAnsi="Cambria Math"/>
                    <w:highlight w:val="none"/>
                    <w:lang w:eastAsia="zh-CN"/>
                  </w:rPr>
                  <m:t>×</m:t>
                </m:r>
                <m:d>
                  <m:dPr>
                    <m:ctrlPr>
                      <w:rPr>
                        <w:rFonts w:ascii="Cambria Math" w:hAnsi="Cambria Math"/>
                        <w:highlight w:val="none"/>
                        <w:lang w:eastAsia="zh-CN"/>
                      </w:rPr>
                    </m:ctrlPr>
                  </m:dPr>
                  <m:e>
                    <m:r>
                      <m:rPr>
                        <m:sty m:val="p"/>
                      </m:rPr>
                      <w:rPr>
                        <w:rFonts w:ascii="Cambria Math" w:hAnsi="Cambria Math"/>
                        <w:highlight w:val="none"/>
                        <w:lang w:eastAsia="zh-CN"/>
                      </w:rPr>
                      <m:t>17</m:t>
                    </m:r>
                    <m:r>
                      <m:rPr>
                        <m:sty m:val="p"/>
                      </m:rPr>
                      <w:rPr>
                        <w:rFonts w:ascii="Cambria Math" w:hAnsi="Cambria Math"/>
                        <w:highlight w:val="none"/>
                      </w:rPr>
                      <m:t>+</m:t>
                    </m:r>
                    <m:r>
                      <m:rPr>
                        <m:sty m:val="p"/>
                      </m:rPr>
                      <w:rPr>
                        <w:rFonts w:ascii="Cambria Math" w:hAnsi="Cambria Math"/>
                        <w:highlight w:val="none"/>
                        <w:lang w:eastAsia="zh-CN"/>
                      </w:rPr>
                      <m:t>300/r</m:t>
                    </m:r>
                    <m:ctrlPr>
                      <w:rPr>
                        <w:rFonts w:ascii="Cambria Math" w:hAnsi="Cambria Math"/>
                        <w:highlight w:val="none"/>
                        <w:lang w:eastAsia="zh-CN"/>
                      </w:rPr>
                    </m:ctrlPr>
                  </m:e>
                </m:d>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式中：r——声源到预测点的距离，m；</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H</w:t>
            </w:r>
            <w:r>
              <w:rPr>
                <w:highlight w:val="none"/>
                <w:vertAlign w:val="subscript"/>
                <w:lang w:eastAsia="zh-CN"/>
              </w:rPr>
              <w:t>m</w:t>
            </w:r>
            <w:r>
              <w:rPr>
                <w:highlight w:val="none"/>
                <w:lang w:eastAsia="zh-CN"/>
              </w:rPr>
              <w:t>——传播路径的平均离地高度。</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3）多个室外声源噪声贡献值叠加</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设第i个室外声源在计算点产生的A声级为L</w:t>
            </w:r>
            <w:r>
              <w:rPr>
                <w:highlight w:val="none"/>
                <w:vertAlign w:val="subscript"/>
                <w:lang w:eastAsia="zh-CN"/>
              </w:rPr>
              <w:t>Ai</w:t>
            </w:r>
            <w:r>
              <w:rPr>
                <w:highlight w:val="none"/>
                <w:lang w:eastAsia="zh-CN"/>
              </w:rPr>
              <w:t>，在T时间内该声源工作时间为t</w:t>
            </w:r>
            <w:r>
              <w:rPr>
                <w:highlight w:val="none"/>
                <w:vertAlign w:val="subscript"/>
                <w:lang w:eastAsia="zh-CN"/>
              </w:rPr>
              <w:t>i</w:t>
            </w:r>
            <w:r>
              <w:rPr>
                <w:highlight w:val="none"/>
                <w:lang w:eastAsia="zh-CN"/>
              </w:rPr>
              <w:t>；第j个等效室外声源在计算点产生的A声级为L</w:t>
            </w:r>
            <w:r>
              <w:rPr>
                <w:highlight w:val="none"/>
                <w:vertAlign w:val="subscript"/>
                <w:lang w:eastAsia="zh-CN"/>
              </w:rPr>
              <w:t>Aj</w:t>
            </w:r>
            <w:r>
              <w:rPr>
                <w:highlight w:val="none"/>
                <w:lang w:eastAsia="zh-CN"/>
              </w:rPr>
              <w:t>，在T时间内该声源工作时间为t</w:t>
            </w:r>
            <w:r>
              <w:rPr>
                <w:highlight w:val="none"/>
                <w:vertAlign w:val="subscript"/>
                <w:lang w:eastAsia="zh-CN"/>
              </w:rPr>
              <w:t>j</w:t>
            </w:r>
            <w:r>
              <w:rPr>
                <w:highlight w:val="none"/>
                <w:lang w:eastAsia="zh-CN"/>
              </w:rPr>
              <w:t>，则计算点的总等效声级为：</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sSub>
                  <m:sSubPr>
                    <m:ctrlPr>
                      <w:rPr>
                        <w:rFonts w:ascii="Cambria Math" w:hAnsi="Cambria Math"/>
                        <w:highlight w:val="none"/>
                      </w:rPr>
                    </m:ctrlPr>
                  </m:sSubPr>
                  <m:e>
                    <m:r>
                      <m:rPr>
                        <m:sty m:val="p"/>
                      </m:rPr>
                      <w:rPr>
                        <w:rFonts w:ascii="Cambria Math" w:hAnsi="Cambria Math"/>
                        <w:highlight w:val="none"/>
                        <w:lang w:eastAsia="zh-CN"/>
                      </w:rPr>
                      <m:t>L</m:t>
                    </m:r>
                    <m:ctrlPr>
                      <w:rPr>
                        <w:rFonts w:ascii="Cambria Math" w:hAnsi="Cambria Math"/>
                        <w:highlight w:val="none"/>
                      </w:rPr>
                    </m:ctrlPr>
                  </m:e>
                  <m:sub>
                    <m:r>
                      <m:rPr>
                        <m:sty m:val="p"/>
                      </m:rPr>
                      <w:rPr>
                        <w:rFonts w:ascii="Cambria Math" w:hAnsi="Cambria Math"/>
                        <w:highlight w:val="none"/>
                        <w:lang w:eastAsia="zh-CN"/>
                      </w:rPr>
                      <m:t>eqg</m:t>
                    </m:r>
                    <m:ctrlPr>
                      <w:rPr>
                        <w:rFonts w:ascii="Cambria Math" w:hAnsi="Cambria Math"/>
                        <w:highlight w:val="none"/>
                      </w:rPr>
                    </m:ctrlPr>
                  </m:sub>
                </m:sSub>
                <m:r>
                  <m:rPr>
                    <m:sty m:val="p"/>
                  </m:rPr>
                  <w:rPr>
                    <w:rFonts w:ascii="Cambria Math" w:hAnsi="Cambria Math"/>
                    <w:highlight w:val="none"/>
                    <w:lang w:eastAsia="zh-CN"/>
                  </w:rPr>
                  <m:t>=10lg</m:t>
                </m:r>
                <m:d>
                  <m:dPr>
                    <m:begChr m:val="["/>
                    <m:endChr m:val="]"/>
                    <m:ctrlPr>
                      <w:rPr>
                        <w:rFonts w:ascii="Cambria Math" w:hAnsi="Cambria Math"/>
                        <w:highlight w:val="none"/>
                        <w:lang w:eastAsia="zh-CN"/>
                      </w:rPr>
                    </m:ctrlPr>
                  </m:dPr>
                  <m:e>
                    <m:f>
                      <m:fPr>
                        <m:ctrlPr>
                          <w:rPr>
                            <w:rFonts w:ascii="Cambria Math" w:hAnsi="Cambria Math"/>
                            <w:highlight w:val="none"/>
                            <w:lang w:eastAsia="zh-CN"/>
                          </w:rPr>
                        </m:ctrlPr>
                      </m:fPr>
                      <m:num>
                        <m:r>
                          <m:rPr>
                            <m:sty m:val="p"/>
                          </m:rPr>
                          <w:rPr>
                            <w:rFonts w:ascii="Cambria Math" w:hAnsi="Cambria Math"/>
                            <w:highlight w:val="none"/>
                            <w:lang w:eastAsia="zh-CN"/>
                          </w:rPr>
                          <m:t>1</m:t>
                        </m:r>
                        <m:ctrlPr>
                          <w:rPr>
                            <w:rFonts w:ascii="Cambria Math" w:hAnsi="Cambria Math"/>
                            <w:highlight w:val="none"/>
                            <w:lang w:eastAsia="zh-CN"/>
                          </w:rPr>
                        </m:ctrlPr>
                      </m:num>
                      <m:den>
                        <m:r>
                          <m:rPr>
                            <m:sty m:val="p"/>
                          </m:rPr>
                          <w:rPr>
                            <w:rFonts w:ascii="Cambria Math" w:hAnsi="Cambria Math"/>
                            <w:highlight w:val="none"/>
                            <w:lang w:eastAsia="zh-CN"/>
                          </w:rPr>
                          <m:t>T</m:t>
                        </m:r>
                        <m:ctrlPr>
                          <w:rPr>
                            <w:rFonts w:ascii="Cambria Math" w:hAnsi="Cambria Math"/>
                            <w:highlight w:val="none"/>
                            <w:lang w:eastAsia="zh-CN"/>
                          </w:rPr>
                        </m:ctrlPr>
                      </m:den>
                    </m:f>
                    <m:d>
                      <m:dPr>
                        <m:ctrlPr>
                          <w:rPr>
                            <w:rFonts w:ascii="Cambria Math" w:hAnsi="Cambria Math"/>
                            <w:highlight w:val="none"/>
                            <w:lang w:eastAsia="zh-CN"/>
                          </w:rPr>
                        </m:ctrlPr>
                      </m:dPr>
                      <m:e>
                        <m:nary>
                          <m:naryPr>
                            <m:chr m:val="∑"/>
                            <m:limLoc m:val="undOvr"/>
                            <m:ctrlPr>
                              <w:rPr>
                                <w:rFonts w:ascii="Cambria Math" w:hAnsi="Cambria Math"/>
                                <w:highlight w:val="none"/>
                                <w:lang w:eastAsia="zh-CN"/>
                              </w:rPr>
                            </m:ctrlPr>
                          </m:naryPr>
                          <m:sub>
                            <m:r>
                              <m:rPr>
                                <m:sty m:val="p"/>
                              </m:rPr>
                              <w:rPr>
                                <w:rFonts w:ascii="Cambria Math" w:hAnsi="Cambria Math"/>
                                <w:highlight w:val="none"/>
                                <w:lang w:eastAsia="zh-CN"/>
                              </w:rPr>
                              <m:t>i=1</m:t>
                            </m:r>
                            <m:ctrlPr>
                              <w:rPr>
                                <w:rFonts w:ascii="Cambria Math" w:hAnsi="Cambria Math"/>
                                <w:highlight w:val="none"/>
                                <w:lang w:eastAsia="zh-CN"/>
                              </w:rPr>
                            </m:ctrlPr>
                          </m:sub>
                          <m:sup>
                            <m:r>
                              <m:rPr>
                                <m:sty m:val="p"/>
                              </m:rPr>
                              <w:rPr>
                                <w:rFonts w:ascii="Cambria Math" w:hAnsi="Cambria Math"/>
                                <w:highlight w:val="none"/>
                                <w:lang w:eastAsia="zh-CN"/>
                              </w:rPr>
                              <m:t>N</m:t>
                            </m:r>
                            <m:ctrlPr>
                              <w:rPr>
                                <w:rFonts w:ascii="Cambria Math" w:hAnsi="Cambria Math"/>
                                <w:highlight w:val="none"/>
                                <w:lang w:eastAsia="zh-CN"/>
                              </w:rPr>
                            </m:ctrlPr>
                          </m:sup>
                          <m:e>
                            <m:sSub>
                              <m:sSubPr>
                                <m:ctrlPr>
                                  <w:rPr>
                                    <w:rFonts w:ascii="Cambria Math" w:hAnsi="Cambria Math"/>
                                    <w:highlight w:val="none"/>
                                    <w:lang w:eastAsia="zh-CN"/>
                                  </w:rPr>
                                </m:ctrlPr>
                              </m:sSubPr>
                              <m:e>
                                <m:r>
                                  <m:rPr>
                                    <m:sty m:val="p"/>
                                  </m:rPr>
                                  <w:rPr>
                                    <w:rFonts w:ascii="Cambria Math" w:hAnsi="Cambria Math"/>
                                    <w:highlight w:val="none"/>
                                    <w:lang w:eastAsia="zh-CN"/>
                                  </w:rPr>
                                  <m:t>t</m:t>
                                </m:r>
                                <m:ctrlPr>
                                  <w:rPr>
                                    <w:rFonts w:ascii="Cambria Math" w:hAnsi="Cambria Math"/>
                                    <w:highlight w:val="none"/>
                                    <w:lang w:eastAsia="zh-CN"/>
                                  </w:rPr>
                                </m:ctrlPr>
                              </m:e>
                              <m:sub>
                                <m:r>
                                  <m:rPr>
                                    <m:sty m:val="p"/>
                                  </m:rPr>
                                  <w:rPr>
                                    <w:rFonts w:ascii="Cambria Math" w:hAnsi="Cambria Math"/>
                                    <w:highlight w:val="none"/>
                                    <w:lang w:eastAsia="zh-CN"/>
                                  </w:rPr>
                                  <m:t>i</m:t>
                                </m:r>
                                <m:ctrlPr>
                                  <w:rPr>
                                    <w:rFonts w:ascii="Cambria Math" w:hAnsi="Cambria Math"/>
                                    <w:highlight w:val="none"/>
                                    <w:lang w:eastAsia="zh-CN"/>
                                  </w:rPr>
                                </m:ctrlPr>
                              </m:sub>
                            </m:sSub>
                            <m:sSup>
                              <m:sSupPr>
                                <m:ctrlPr>
                                  <w:rPr>
                                    <w:rFonts w:ascii="Cambria Math" w:hAnsi="Cambria Math"/>
                                    <w:highlight w:val="none"/>
                                    <w:lang w:eastAsia="zh-CN"/>
                                  </w:rPr>
                                </m:ctrlPr>
                              </m:sSupPr>
                              <m:e>
                                <m:r>
                                  <m:rPr>
                                    <m:sty m:val="p"/>
                                  </m:rPr>
                                  <w:rPr>
                                    <w:rFonts w:ascii="Cambria Math" w:hAnsi="Cambria Math"/>
                                    <w:highlight w:val="none"/>
                                    <w:lang w:eastAsia="zh-CN"/>
                                  </w:rPr>
                                  <m:t>10</m:t>
                                </m:r>
                                <m:ctrlPr>
                                  <w:rPr>
                                    <w:rFonts w:ascii="Cambria Math" w:hAnsi="Cambria Math"/>
                                    <w:highlight w:val="none"/>
                                    <w:lang w:eastAsia="zh-CN"/>
                                  </w:rPr>
                                </m:ctrlPr>
                              </m:e>
                              <m:sup>
                                <m:r>
                                  <m:rPr>
                                    <m:sty m:val="p"/>
                                  </m:rPr>
                                  <w:rPr>
                                    <w:rFonts w:ascii="Cambria Math" w:hAnsi="Cambria Math"/>
                                    <w:highlight w:val="none"/>
                                    <w:lang w:eastAsia="zh-CN"/>
                                  </w:rPr>
                                  <m:t>0.1</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Ai</m:t>
                                    </m:r>
                                    <m:ctrlPr>
                                      <w:rPr>
                                        <w:rFonts w:ascii="Cambria Math" w:hAnsi="Cambria Math"/>
                                        <w:highlight w:val="none"/>
                                        <w:lang w:eastAsia="zh-CN"/>
                                      </w:rPr>
                                    </m:ctrlPr>
                                  </m:sub>
                                </m:sSub>
                                <m:ctrlPr>
                                  <w:rPr>
                                    <w:rFonts w:ascii="Cambria Math" w:hAnsi="Cambria Math"/>
                                    <w:highlight w:val="none"/>
                                    <w:lang w:eastAsia="zh-CN"/>
                                  </w:rPr>
                                </m:ctrlPr>
                              </m:sup>
                            </m:sSup>
                            <m:ctrlPr>
                              <w:rPr>
                                <w:rFonts w:ascii="Cambria Math" w:hAnsi="Cambria Math"/>
                                <w:highlight w:val="none"/>
                                <w:lang w:eastAsia="zh-CN"/>
                              </w:rPr>
                            </m:ctrlPr>
                          </m:e>
                        </m:nary>
                        <m:r>
                          <m:rPr>
                            <m:sty m:val="p"/>
                          </m:rPr>
                          <w:rPr>
                            <w:rFonts w:ascii="Cambria Math" w:hAnsi="Cambria Math"/>
                            <w:highlight w:val="none"/>
                          </w:rPr>
                          <m:t>+</m:t>
                        </m:r>
                        <m:nary>
                          <m:naryPr>
                            <m:chr m:val="∑"/>
                            <m:limLoc m:val="undOvr"/>
                            <m:ctrlPr>
                              <w:rPr>
                                <w:rFonts w:ascii="Cambria Math" w:hAnsi="Cambria Math"/>
                                <w:highlight w:val="none"/>
                              </w:rPr>
                            </m:ctrlPr>
                          </m:naryPr>
                          <m:sub>
                            <m:r>
                              <m:rPr>
                                <m:sty m:val="p"/>
                              </m:rPr>
                              <w:rPr>
                                <w:rFonts w:ascii="Cambria Math" w:hAnsi="Cambria Math"/>
                                <w:highlight w:val="none"/>
                                <w:lang w:eastAsia="zh-CN"/>
                              </w:rPr>
                              <m:t>j=1</m:t>
                            </m:r>
                            <m:ctrlPr>
                              <w:rPr>
                                <w:rFonts w:ascii="Cambria Math" w:hAnsi="Cambria Math"/>
                                <w:highlight w:val="none"/>
                              </w:rPr>
                            </m:ctrlPr>
                          </m:sub>
                          <m:sup>
                            <m:r>
                              <m:rPr>
                                <m:sty m:val="p"/>
                              </m:rPr>
                              <w:rPr>
                                <w:rFonts w:ascii="Cambria Math" w:hAnsi="Cambria Math"/>
                                <w:highlight w:val="none"/>
                                <w:lang w:eastAsia="zh-CN"/>
                              </w:rPr>
                              <m:t>M</m:t>
                            </m:r>
                            <m:ctrlPr>
                              <w:rPr>
                                <w:rFonts w:ascii="Cambria Math" w:hAnsi="Cambria Math"/>
                                <w:highlight w:val="none"/>
                              </w:rPr>
                            </m:ctrlPr>
                          </m:sup>
                          <m:e>
                            <m:sSub>
                              <m:sSubPr>
                                <m:ctrlPr>
                                  <w:rPr>
                                    <w:rFonts w:ascii="Cambria Math" w:hAnsi="Cambria Math"/>
                                    <w:highlight w:val="none"/>
                                  </w:rPr>
                                </m:ctrlPr>
                              </m:sSubPr>
                              <m:e>
                                <m:r>
                                  <m:rPr>
                                    <m:sty m:val="p"/>
                                  </m:rPr>
                                  <w:rPr>
                                    <w:rFonts w:ascii="Cambria Math" w:hAnsi="Cambria Math"/>
                                    <w:highlight w:val="none"/>
                                    <w:lang w:eastAsia="zh-CN"/>
                                  </w:rPr>
                                  <m:t>t</m:t>
                                </m:r>
                                <m:ctrlPr>
                                  <w:rPr>
                                    <w:rFonts w:ascii="Cambria Math" w:hAnsi="Cambria Math"/>
                                    <w:highlight w:val="none"/>
                                  </w:rPr>
                                </m:ctrlPr>
                              </m:e>
                              <m:sub>
                                <m:r>
                                  <m:rPr>
                                    <m:sty m:val="p"/>
                                  </m:rPr>
                                  <w:rPr>
                                    <w:rFonts w:ascii="Cambria Math" w:hAnsi="Cambria Math"/>
                                    <w:highlight w:val="none"/>
                                    <w:lang w:eastAsia="zh-CN"/>
                                  </w:rPr>
                                  <m:t>j</m:t>
                                </m:r>
                                <m:ctrlPr>
                                  <w:rPr>
                                    <w:rFonts w:ascii="Cambria Math" w:hAnsi="Cambria Math"/>
                                    <w:highlight w:val="none"/>
                                  </w:rPr>
                                </m:ctrlPr>
                              </m:sub>
                            </m:sSub>
                            <m:sSup>
                              <m:sSupPr>
                                <m:ctrlPr>
                                  <w:rPr>
                                    <w:rFonts w:ascii="Cambria Math" w:hAnsi="Cambria Math"/>
                                    <w:highlight w:val="none"/>
                                  </w:rPr>
                                </m:ctrlPr>
                              </m:sSupPr>
                              <m:e>
                                <m:r>
                                  <m:rPr>
                                    <m:sty m:val="p"/>
                                  </m:rPr>
                                  <w:rPr>
                                    <w:rFonts w:ascii="Cambria Math" w:hAnsi="Cambria Math"/>
                                    <w:highlight w:val="none"/>
                                    <w:lang w:eastAsia="zh-CN"/>
                                  </w:rPr>
                                  <m:t>10</m:t>
                                </m:r>
                                <m:ctrlPr>
                                  <w:rPr>
                                    <w:rFonts w:ascii="Cambria Math" w:hAnsi="Cambria Math"/>
                                    <w:highlight w:val="none"/>
                                  </w:rPr>
                                </m:ctrlPr>
                              </m:e>
                              <m:sup>
                                <m:r>
                                  <m:rPr>
                                    <m:sty m:val="p"/>
                                  </m:rPr>
                                  <w:rPr>
                                    <w:rFonts w:ascii="Cambria Math" w:hAnsi="Cambria Math"/>
                                    <w:highlight w:val="none"/>
                                    <w:lang w:eastAsia="zh-CN"/>
                                  </w:rPr>
                                  <m:t>0.1</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Aj</m:t>
                                    </m:r>
                                    <m:ctrlPr>
                                      <w:rPr>
                                        <w:rFonts w:ascii="Cambria Math" w:hAnsi="Cambria Math"/>
                                        <w:highlight w:val="none"/>
                                        <w:lang w:eastAsia="zh-CN"/>
                                      </w:rPr>
                                    </m:ctrlPr>
                                  </m:sub>
                                </m:sSub>
                                <m:ctrlPr>
                                  <w:rPr>
                                    <w:rFonts w:ascii="Cambria Math" w:hAnsi="Cambria Math"/>
                                    <w:highlight w:val="none"/>
                                  </w:rPr>
                                </m:ctrlPr>
                              </m:sup>
                            </m:sSup>
                            <m:ctrlPr>
                              <w:rPr>
                                <w:rFonts w:ascii="Cambria Math" w:hAnsi="Cambria Math"/>
                                <w:highlight w:val="none"/>
                              </w:rPr>
                            </m:ctrlPr>
                          </m:e>
                        </m:nary>
                        <m:ctrlPr>
                          <w:rPr>
                            <w:rFonts w:ascii="Cambria Math" w:hAnsi="Cambria Math"/>
                            <w:highlight w:val="none"/>
                            <w:lang w:eastAsia="zh-CN"/>
                          </w:rPr>
                        </m:ctrlPr>
                      </m:e>
                    </m:d>
                    <m:ctrlPr>
                      <w:rPr>
                        <w:rFonts w:ascii="Cambria Math" w:hAnsi="Cambria Math"/>
                        <w:highlight w:val="none"/>
                        <w:lang w:eastAsia="zh-CN"/>
                      </w:rPr>
                    </m:ctrlPr>
                  </m:e>
                </m:d>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式中：t</w:t>
            </w:r>
            <w:r>
              <w:rPr>
                <w:highlight w:val="none"/>
                <w:vertAlign w:val="subscript"/>
                <w:lang w:eastAsia="zh-CN"/>
              </w:rPr>
              <w:t>i</w:t>
            </w:r>
            <w:r>
              <w:rPr>
                <w:highlight w:val="none"/>
                <w:lang w:eastAsia="zh-CN"/>
              </w:rPr>
              <w:t>—在T时间内j声源工作时间，S；</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t</w:t>
            </w:r>
            <w:r>
              <w:rPr>
                <w:highlight w:val="none"/>
                <w:vertAlign w:val="subscript"/>
                <w:lang w:eastAsia="zh-CN"/>
              </w:rPr>
              <w:t>j</w:t>
            </w:r>
            <w:r>
              <w:rPr>
                <w:highlight w:val="none"/>
                <w:lang w:eastAsia="zh-CN"/>
              </w:rPr>
              <w:t>—在T时间内i声源工作时间，S；</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T—计算等效声级的时间，h；</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N—室外声源个数，M等效室外声源个数</w:t>
            </w:r>
            <w:r>
              <w:rPr>
                <w:rFonts w:hint="eastAsia"/>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4）预测点的预测等效声级</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val="zh-CN" w:eastAsia="zh-CN"/>
              </w:rPr>
            </w:pPr>
            <w:r>
              <w:rPr>
                <w:highlight w:val="none"/>
                <w:lang w:eastAsia="zh-CN"/>
              </w:rPr>
              <w:t>新建项目厂界处的噪声影响仅考虑贡献值的影响。</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sSub>
                  <m:sSubPr>
                    <m:ctrlPr>
                      <w:rPr>
                        <w:rFonts w:ascii="Cambria Math" w:hAnsi="Cambria Math"/>
                        <w:highlight w:val="none"/>
                      </w:rPr>
                    </m:ctrlPr>
                  </m:sSubPr>
                  <m:e>
                    <m:r>
                      <m:rPr>
                        <m:sty m:val="p"/>
                      </m:rPr>
                      <w:rPr>
                        <w:rFonts w:ascii="Cambria Math" w:hAnsi="Cambria Math"/>
                        <w:highlight w:val="none"/>
                        <w:lang w:eastAsia="zh-CN"/>
                      </w:rPr>
                      <m:t>L</m:t>
                    </m:r>
                    <m:ctrlPr>
                      <w:rPr>
                        <w:rFonts w:ascii="Cambria Math" w:hAnsi="Cambria Math"/>
                        <w:highlight w:val="none"/>
                      </w:rPr>
                    </m:ctrlPr>
                  </m:e>
                  <m:sub>
                    <m:r>
                      <m:rPr>
                        <m:sty m:val="p"/>
                      </m:rPr>
                      <w:rPr>
                        <w:rFonts w:ascii="Cambria Math" w:hAnsi="Cambria Math"/>
                        <w:highlight w:val="none"/>
                        <w:lang w:eastAsia="zh-CN"/>
                      </w:rPr>
                      <m:t>eq</m:t>
                    </m:r>
                    <m:ctrlPr>
                      <w:rPr>
                        <w:rFonts w:ascii="Cambria Math" w:hAnsi="Cambria Math"/>
                        <w:highlight w:val="none"/>
                      </w:rPr>
                    </m:ctrlPr>
                  </m:sub>
                </m:sSub>
                <m:r>
                  <m:rPr>
                    <m:sty m:val="p"/>
                  </m:rPr>
                  <w:rPr>
                    <w:rFonts w:ascii="Cambria Math" w:hAnsi="Cambria Math"/>
                    <w:highlight w:val="none"/>
                    <w:lang w:eastAsia="zh-CN"/>
                  </w:rPr>
                  <m:t>=10Lg</m:t>
                </m:r>
                <m:d>
                  <m:dPr>
                    <m:ctrlPr>
                      <w:rPr>
                        <w:rFonts w:ascii="Cambria Math" w:hAnsi="Cambria Math"/>
                        <w:highlight w:val="none"/>
                        <w:lang w:eastAsia="zh-CN"/>
                      </w:rPr>
                    </m:ctrlPr>
                  </m:dPr>
                  <m:e>
                    <m:sSup>
                      <m:sSupPr>
                        <m:ctrlPr>
                          <w:rPr>
                            <w:rFonts w:ascii="Cambria Math" w:hAnsi="Cambria Math"/>
                            <w:highlight w:val="none"/>
                            <w:lang w:eastAsia="zh-CN"/>
                          </w:rPr>
                        </m:ctrlPr>
                      </m:sSupPr>
                      <m:e>
                        <m:r>
                          <m:rPr>
                            <m:sty m:val="p"/>
                          </m:rPr>
                          <w:rPr>
                            <w:rFonts w:ascii="Cambria Math" w:hAnsi="Cambria Math"/>
                            <w:highlight w:val="none"/>
                            <w:lang w:eastAsia="zh-CN"/>
                          </w:rPr>
                          <m:t>10</m:t>
                        </m:r>
                        <m:ctrlPr>
                          <w:rPr>
                            <w:rFonts w:ascii="Cambria Math" w:hAnsi="Cambria Math"/>
                            <w:highlight w:val="none"/>
                            <w:lang w:eastAsia="zh-CN"/>
                          </w:rPr>
                        </m:ctrlPr>
                      </m:e>
                      <m:sup>
                        <m:r>
                          <m:rPr>
                            <m:sty m:val="p"/>
                          </m:rPr>
                          <w:rPr>
                            <w:rFonts w:ascii="Cambria Math" w:hAnsi="Cambria Math"/>
                            <w:highlight w:val="none"/>
                            <w:lang w:eastAsia="zh-CN"/>
                          </w:rPr>
                          <m:t>0.1</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eqg</m:t>
                            </m:r>
                            <m:ctrlPr>
                              <w:rPr>
                                <w:rFonts w:ascii="Cambria Math" w:hAnsi="Cambria Math"/>
                                <w:highlight w:val="none"/>
                                <w:lang w:eastAsia="zh-CN"/>
                              </w:rPr>
                            </m:ctrlPr>
                          </m:sub>
                        </m:sSub>
                        <m:ctrlPr>
                          <w:rPr>
                            <w:rFonts w:ascii="Cambria Math" w:hAnsi="Cambria Math"/>
                            <w:highlight w:val="none"/>
                            <w:lang w:eastAsia="zh-CN"/>
                          </w:rPr>
                        </m:ctrlPr>
                      </m:sup>
                    </m:sSup>
                    <m:r>
                      <m:rPr>
                        <m:sty m:val="p"/>
                      </m:rPr>
                      <w:rPr>
                        <w:rFonts w:ascii="Cambria Math" w:hAnsi="Cambria Math"/>
                        <w:highlight w:val="none"/>
                        <w:lang w:eastAsia="zh-CN"/>
                      </w:rPr>
                      <m:t>+</m:t>
                    </m:r>
                    <m:sSup>
                      <m:sSupPr>
                        <m:ctrlPr>
                          <w:rPr>
                            <w:rFonts w:ascii="Cambria Math" w:hAnsi="Cambria Math"/>
                            <w:highlight w:val="none"/>
                            <w:lang w:eastAsia="zh-CN"/>
                          </w:rPr>
                        </m:ctrlPr>
                      </m:sSupPr>
                      <m:e>
                        <m:r>
                          <m:rPr>
                            <m:sty m:val="p"/>
                          </m:rPr>
                          <w:rPr>
                            <w:rFonts w:ascii="Cambria Math" w:hAnsi="Cambria Math"/>
                            <w:highlight w:val="none"/>
                            <w:lang w:eastAsia="zh-CN"/>
                          </w:rPr>
                          <m:t>10</m:t>
                        </m:r>
                        <m:ctrlPr>
                          <w:rPr>
                            <w:rFonts w:ascii="Cambria Math" w:hAnsi="Cambria Math"/>
                            <w:highlight w:val="none"/>
                            <w:lang w:eastAsia="zh-CN"/>
                          </w:rPr>
                        </m:ctrlPr>
                      </m:e>
                      <m:sup>
                        <m:r>
                          <m:rPr>
                            <m:sty m:val="p"/>
                          </m:rPr>
                          <w:rPr>
                            <w:rFonts w:ascii="Cambria Math" w:hAnsi="Cambria Math"/>
                            <w:highlight w:val="none"/>
                            <w:lang w:eastAsia="zh-CN"/>
                          </w:rPr>
                          <m:t>0.1</m:t>
                        </m:r>
                        <m:sSub>
                          <m:sSubPr>
                            <m:ctrlPr>
                              <w:rPr>
                                <w:rFonts w:ascii="Cambria Math" w:hAnsi="Cambria Math"/>
                                <w:highlight w:val="none"/>
                                <w:lang w:eastAsia="zh-CN"/>
                              </w:rPr>
                            </m:ctrlPr>
                          </m:sSubPr>
                          <m:e>
                            <m:r>
                              <m:rPr>
                                <m:sty m:val="p"/>
                              </m:rPr>
                              <w:rPr>
                                <w:rFonts w:ascii="Cambria Math" w:hAnsi="Cambria Math"/>
                                <w:highlight w:val="none"/>
                                <w:lang w:eastAsia="zh-CN"/>
                              </w:rPr>
                              <m:t>L</m:t>
                            </m:r>
                            <m:ctrlPr>
                              <w:rPr>
                                <w:rFonts w:ascii="Cambria Math" w:hAnsi="Cambria Math"/>
                                <w:highlight w:val="none"/>
                                <w:lang w:eastAsia="zh-CN"/>
                              </w:rPr>
                            </m:ctrlPr>
                          </m:e>
                          <m:sub>
                            <m:r>
                              <m:rPr>
                                <m:sty m:val="p"/>
                              </m:rPr>
                              <w:rPr>
                                <w:rFonts w:ascii="Cambria Math" w:hAnsi="Cambria Math"/>
                                <w:highlight w:val="none"/>
                                <w:lang w:eastAsia="zh-CN"/>
                              </w:rPr>
                              <m:t>eqb</m:t>
                            </m:r>
                            <m:ctrlPr>
                              <w:rPr>
                                <w:rFonts w:ascii="Cambria Math" w:hAnsi="Cambria Math"/>
                                <w:highlight w:val="none"/>
                                <w:lang w:eastAsia="zh-CN"/>
                              </w:rPr>
                            </m:ctrlPr>
                          </m:sub>
                        </m:sSub>
                        <m:ctrlPr>
                          <w:rPr>
                            <w:rFonts w:ascii="Cambria Math" w:hAnsi="Cambria Math"/>
                            <w:highlight w:val="none"/>
                            <w:lang w:eastAsia="zh-CN"/>
                          </w:rPr>
                        </m:ctrlPr>
                      </m:sup>
                    </m:sSup>
                    <m:ctrlPr>
                      <w:rPr>
                        <w:rFonts w:ascii="Cambria Math" w:hAnsi="Cambria Math"/>
                        <w:highlight w:val="none"/>
                        <w:lang w:eastAsia="zh-CN"/>
                      </w:rPr>
                    </m:ctrlPr>
                  </m:e>
                </m:d>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式中：L</w:t>
            </w:r>
            <w:r>
              <w:rPr>
                <w:highlight w:val="none"/>
                <w:vertAlign w:val="subscript"/>
                <w:lang w:eastAsia="zh-CN"/>
              </w:rPr>
              <w:t>eqg</w:t>
            </w:r>
            <w:r>
              <w:rPr>
                <w:highlight w:val="none"/>
                <w:lang w:eastAsia="zh-CN"/>
              </w:rPr>
              <w:t>——建设项目声源在预测点的等效声级贡献值，dB(A)；</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L</w:t>
            </w:r>
            <w:r>
              <w:rPr>
                <w:highlight w:val="none"/>
                <w:vertAlign w:val="subscript"/>
                <w:lang w:eastAsia="zh-CN"/>
              </w:rPr>
              <w:t>eqb</w:t>
            </w:r>
            <w:r>
              <w:rPr>
                <w:highlight w:val="none"/>
                <w:lang w:eastAsia="zh-CN"/>
              </w:rPr>
              <w:t>——预测点的背值，dB(A)；</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5）预测结果</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通过预测模型计算，项目厂界噪声预测结果与达标分析见</w:t>
            </w:r>
            <w:r>
              <w:rPr>
                <w:highlight w:val="none"/>
                <w:lang w:val="zh-CN" w:eastAsia="zh-CN"/>
              </w:rPr>
              <w:t>下表。</w:t>
            </w:r>
          </w:p>
          <w:p>
            <w:pPr>
              <w:pStyle w:val="18"/>
              <w:keepNext w:val="0"/>
              <w:keepLines w:val="0"/>
              <w:pageBreakBefore w:val="0"/>
              <w:kinsoku/>
              <w:wordWrap/>
              <w:overflowPunct w:val="0"/>
              <w:topLinePunct w:val="0"/>
              <w:autoSpaceDE w:val="0"/>
              <w:autoSpaceDN w:val="0"/>
              <w:bidi w:val="0"/>
              <w:adjustRightInd w:val="0"/>
              <w:snapToGrid w:val="0"/>
              <w:rPr>
                <w:color w:val="auto"/>
                <w:highlight w:val="none"/>
                <w:lang w:eastAsia="zh-CN"/>
              </w:rPr>
            </w:pPr>
            <w:r>
              <w:rPr>
                <w:color w:val="auto"/>
                <w:highlight w:val="none"/>
                <w:lang w:eastAsia="zh-CN"/>
              </w:rPr>
              <w:t>表4-</w:t>
            </w:r>
            <w:r>
              <w:rPr>
                <w:rFonts w:hint="eastAsia"/>
                <w:color w:val="auto"/>
                <w:highlight w:val="none"/>
                <w:lang w:eastAsia="zh-CN"/>
              </w:rPr>
              <w:t>9</w:t>
            </w:r>
            <w:r>
              <w:rPr>
                <w:color w:val="auto"/>
                <w:highlight w:val="none"/>
                <w:lang w:eastAsia="zh-CN"/>
              </w:rPr>
              <w:t xml:space="preserve"> 项目各厂界噪声预测结果（单位：dB(A））</w:t>
            </w:r>
          </w:p>
          <w:p>
            <w:pPr>
              <w:keepNext w:val="0"/>
              <w:keepLines w:val="0"/>
              <w:pageBreakBefore w:val="0"/>
              <w:kinsoku/>
              <w:wordWrap/>
              <w:overflowPunct w:val="0"/>
              <w:topLinePunct w:val="0"/>
              <w:autoSpaceDE w:val="0"/>
              <w:autoSpaceDN w:val="0"/>
              <w:bidi w:val="0"/>
              <w:adjustRightInd w:val="0"/>
              <w:snapToGrid w:val="0"/>
              <w:spacing w:line="26" w:lineRule="auto"/>
              <w:rPr>
                <w:rFonts w:ascii="Arial"/>
                <w:sz w:val="2"/>
                <w:highlight w:val="none"/>
                <w:lang w:eastAsia="zh-CN"/>
              </w:rPr>
            </w:pPr>
          </w:p>
          <w:tbl>
            <w:tblPr>
              <w:tblStyle w:val="21"/>
              <w:tblW w:w="7900" w:type="dxa"/>
              <w:tblInd w:w="10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27"/>
              <w:gridCol w:w="821"/>
              <w:gridCol w:w="821"/>
              <w:gridCol w:w="821"/>
              <w:gridCol w:w="821"/>
              <w:gridCol w:w="821"/>
              <w:gridCol w:w="821"/>
              <w:gridCol w:w="821"/>
              <w:gridCol w:w="82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 w:hRule="atLeast"/>
              </w:trPr>
              <w:tc>
                <w:tcPr>
                  <w:tcW w:w="1327"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预测点</w:t>
                  </w:r>
                </w:p>
              </w:tc>
              <w:tc>
                <w:tcPr>
                  <w:tcW w:w="1642"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最大背景值</w:t>
                  </w:r>
                </w:p>
              </w:tc>
              <w:tc>
                <w:tcPr>
                  <w:tcW w:w="1642"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贡献值</w:t>
                  </w:r>
                </w:p>
              </w:tc>
              <w:tc>
                <w:tcPr>
                  <w:tcW w:w="1642"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叠加预测值</w:t>
                  </w:r>
                </w:p>
              </w:tc>
              <w:tc>
                <w:tcPr>
                  <w:tcW w:w="1647" w:type="dxa"/>
                  <w:gridSpan w:val="2"/>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评价标准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6" w:hRule="atLeast"/>
              </w:trPr>
              <w:tc>
                <w:tcPr>
                  <w:tcW w:w="1327"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昼间</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夜间</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昼间</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夜间</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昼间</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夜间</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昼间</w:t>
                  </w:r>
                </w:p>
              </w:tc>
              <w:tc>
                <w:tcPr>
                  <w:tcW w:w="82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夜间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32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东边界</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53.8</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48.5</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27.4</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27.4</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53.8</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48.5</w:t>
                  </w:r>
                </w:p>
              </w:tc>
              <w:tc>
                <w:tcPr>
                  <w:tcW w:w="821"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65</w:t>
                  </w:r>
                </w:p>
              </w:tc>
              <w:tc>
                <w:tcPr>
                  <w:tcW w:w="826"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6" w:hRule="atLeast"/>
              </w:trPr>
              <w:tc>
                <w:tcPr>
                  <w:tcW w:w="132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南边界</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55.8</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46.9</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31.5</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31.5</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55.8</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w:t>
                  </w:r>
                  <w:r>
                    <w:rPr>
                      <w:rFonts w:hint="eastAsia"/>
                      <w:highlight w:val="none"/>
                    </w:rPr>
                    <w:t>7.0</w:t>
                  </w:r>
                </w:p>
              </w:tc>
              <w:tc>
                <w:tcPr>
                  <w:tcW w:w="82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26"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6" w:hRule="atLeast"/>
              </w:trPr>
              <w:tc>
                <w:tcPr>
                  <w:tcW w:w="132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西边界</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52.8</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45.</w:t>
                  </w:r>
                  <w:r>
                    <w:rPr>
                      <w:rFonts w:hint="eastAsia"/>
                      <w:highlight w:val="none"/>
                    </w:rPr>
                    <w:t>5</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32.0</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32.0</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52.8</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45.</w:t>
                  </w:r>
                  <w:r>
                    <w:rPr>
                      <w:rFonts w:hint="eastAsia"/>
                      <w:highlight w:val="none"/>
                    </w:rPr>
                    <w:t>7</w:t>
                  </w:r>
                </w:p>
              </w:tc>
              <w:tc>
                <w:tcPr>
                  <w:tcW w:w="821"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26" w:type="dxa"/>
                  <w:vMerge w:val="continue"/>
                  <w:tcBorders>
                    <w:top w:val="nil"/>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2" w:hRule="atLeast"/>
              </w:trPr>
              <w:tc>
                <w:tcPr>
                  <w:tcW w:w="132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北边界</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57.9</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53.6</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23.7</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23.7</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57.9</w:t>
                  </w:r>
                </w:p>
              </w:tc>
              <w:tc>
                <w:tcPr>
                  <w:tcW w:w="82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53.6</w:t>
                  </w:r>
                </w:p>
              </w:tc>
              <w:tc>
                <w:tcPr>
                  <w:tcW w:w="821"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26"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bl>
          <w:p>
            <w:pPr>
              <w:pStyle w:val="18"/>
              <w:keepNext w:val="0"/>
              <w:keepLines w:val="0"/>
              <w:pageBreakBefore w:val="0"/>
              <w:kinsoku/>
              <w:wordWrap/>
              <w:overflowPunct w:val="0"/>
              <w:topLinePunct w:val="0"/>
              <w:autoSpaceDE w:val="0"/>
              <w:autoSpaceDN w:val="0"/>
              <w:bidi w:val="0"/>
              <w:adjustRightInd w:val="0"/>
              <w:snapToGrid w:val="0"/>
              <w:jc w:val="left"/>
              <w:rPr>
                <w:highlight w:val="none"/>
                <w:lang w:eastAsia="zh-CN"/>
              </w:rPr>
            </w:pPr>
            <w:r>
              <w:rPr>
                <w:rFonts w:hint="eastAsia"/>
                <w:highlight w:val="none"/>
                <w:lang w:eastAsia="zh-CN"/>
              </w:rPr>
              <w:t>注：厂界背景值数据来自《马瑞利动力系统(合肥)有限公司年产36000套机械式自动变速器执行器项目竣工环境保护验收检测项目》监测数据</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由上表可以看出，本项目营运期厂界噪声能满足《工业企业厂界环境噪声排放标准》（GB12348-2008）中的</w:t>
            </w:r>
            <w:r>
              <w:rPr>
                <w:rFonts w:hint="eastAsia"/>
                <w:highlight w:val="none"/>
                <w:lang w:eastAsia="zh-CN"/>
              </w:rPr>
              <w:t>3</w:t>
            </w:r>
            <w:r>
              <w:rPr>
                <w:highlight w:val="none"/>
                <w:lang w:eastAsia="zh-CN"/>
              </w:rPr>
              <w:t>类标准。</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3、监测要求</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根据《排污许可证申请与核发技术规范 工业噪声》（HJ 1301—2023）项目监测点位位置、监测频次及最低监测频次按下表执行。</w:t>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highlight w:val="none"/>
                <w:lang w:eastAsia="zh-CN"/>
              </w:rPr>
              <w:t>表4-</w:t>
            </w:r>
            <w:r>
              <w:rPr>
                <w:rFonts w:hint="eastAsia"/>
                <w:highlight w:val="none"/>
                <w:lang w:eastAsia="zh-CN"/>
              </w:rPr>
              <w:t>10</w:t>
            </w:r>
            <w:r>
              <w:rPr>
                <w:highlight w:val="none"/>
                <w:lang w:eastAsia="zh-CN"/>
              </w:rPr>
              <w:t xml:space="preserve"> 项目运营期噪声监测计划</w:t>
            </w:r>
          </w:p>
          <w:tbl>
            <w:tblPr>
              <w:tblStyle w:val="21"/>
              <w:tblW w:w="8074" w:type="dxa"/>
              <w:tblInd w:w="10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4"/>
              <w:gridCol w:w="890"/>
              <w:gridCol w:w="1293"/>
              <w:gridCol w:w="1127"/>
              <w:gridCol w:w="2694"/>
              <w:gridCol w:w="135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71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环境</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要素</w:t>
                  </w:r>
                </w:p>
              </w:tc>
              <w:tc>
                <w:tcPr>
                  <w:tcW w:w="89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监测位置</w:t>
                  </w:r>
                </w:p>
              </w:tc>
              <w:tc>
                <w:tcPr>
                  <w:tcW w:w="129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监测项目</w:t>
                  </w:r>
                </w:p>
              </w:tc>
              <w:tc>
                <w:tcPr>
                  <w:tcW w:w="112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监测频率</w:t>
                  </w:r>
                </w:p>
              </w:tc>
              <w:tc>
                <w:tcPr>
                  <w:tcW w:w="269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执行排放标准</w:t>
                  </w:r>
                </w:p>
              </w:tc>
              <w:tc>
                <w:tcPr>
                  <w:tcW w:w="13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备注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4" w:hRule="atLeast"/>
              </w:trPr>
              <w:tc>
                <w:tcPr>
                  <w:tcW w:w="71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噪声</w:t>
                  </w:r>
                </w:p>
              </w:tc>
              <w:tc>
                <w:tcPr>
                  <w:tcW w:w="89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厂界</w:t>
                  </w:r>
                </w:p>
              </w:tc>
              <w:tc>
                <w:tcPr>
                  <w:tcW w:w="129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昼间、夜间L</w:t>
                  </w:r>
                  <w:r>
                    <w:rPr>
                      <w:highlight w:val="none"/>
                      <w:vertAlign w:val="subscript"/>
                    </w:rPr>
                    <w:t>eq</w:t>
                  </w:r>
                  <w:r>
                    <w:rPr>
                      <w:highlight w:val="none"/>
                    </w:rPr>
                    <w:t>（A）</w:t>
                  </w:r>
                </w:p>
              </w:tc>
              <w:tc>
                <w:tcPr>
                  <w:tcW w:w="112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每季度一次</w:t>
                  </w:r>
                </w:p>
              </w:tc>
              <w:tc>
                <w:tcPr>
                  <w:tcW w:w="269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《工业企业厂界环境噪声</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排放标准》（GB12348-2008）</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中 3 类标准</w:t>
                  </w:r>
                </w:p>
              </w:tc>
              <w:tc>
                <w:tcPr>
                  <w:tcW w:w="135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委托有监测</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能力的单位实施监测</w:t>
                  </w:r>
                </w:p>
              </w:tc>
            </w:tr>
          </w:tbl>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四、固体废物</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1、固废源强</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本项目生活垃圾主要为员工的办公等生活垃圾；一般工业固废主要为边角料及不合格品、废包装纸箱</w:t>
            </w:r>
            <w:r>
              <w:rPr>
                <w:rFonts w:hint="eastAsia"/>
                <w:highlight w:val="none"/>
                <w:lang w:eastAsia="zh-CN"/>
              </w:rPr>
              <w:t>和</w:t>
            </w:r>
            <w:r>
              <w:rPr>
                <w:rFonts w:hint="eastAsia" w:ascii="宋体" w:hAnsi="宋体"/>
                <w:highlight w:val="none"/>
                <w:lang w:eastAsia="zh-CN" w:bidi="ar"/>
              </w:rPr>
              <w:t>除尘滤纸</w:t>
            </w:r>
            <w:r>
              <w:rPr>
                <w:highlight w:val="none"/>
                <w:lang w:eastAsia="zh-CN"/>
              </w:rPr>
              <w:t>；危险废物主要为废</w:t>
            </w:r>
            <w:r>
              <w:rPr>
                <w:highlight w:val="none"/>
              </w:rPr>
              <w:t>润滑油</w:t>
            </w:r>
            <w:r>
              <w:rPr>
                <w:rFonts w:hint="eastAsia"/>
                <w:highlight w:val="none"/>
                <w:lang w:eastAsia="zh-CN"/>
              </w:rPr>
              <w:t>、</w:t>
            </w:r>
            <w:r>
              <w:rPr>
                <w:highlight w:val="none"/>
                <w:lang w:eastAsia="zh-CN"/>
              </w:rPr>
              <w:t>废</w:t>
            </w:r>
            <w:r>
              <w:rPr>
                <w:highlight w:val="none"/>
              </w:rPr>
              <w:t>润滑油桶及润滑</w:t>
            </w:r>
            <w:r>
              <w:rPr>
                <w:rFonts w:hint="eastAsia"/>
                <w:highlight w:val="none"/>
                <w:lang w:val="en-US" w:eastAsia="zh-CN"/>
              </w:rPr>
              <w:t>脂</w:t>
            </w:r>
            <w:r>
              <w:rPr>
                <w:highlight w:val="none"/>
              </w:rPr>
              <w:t>桶</w:t>
            </w:r>
            <w:r>
              <w:rPr>
                <w:highlight w:val="none"/>
                <w:lang w:eastAsia="zh-CN"/>
              </w:rPr>
              <w:t>、废抹布及手套。</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（1）</w:t>
            </w:r>
            <w:r>
              <w:rPr>
                <w:spacing w:val="-3"/>
                <w:highlight w:val="none"/>
                <w:lang w:eastAsia="zh-CN"/>
              </w:rPr>
              <w:t>一般固废</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①边角料及不合格品</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参考同类项目</w:t>
            </w:r>
            <w:r>
              <w:rPr>
                <w:highlight w:val="none"/>
                <w:lang w:eastAsia="zh-CN"/>
              </w:rPr>
              <w:t>，不合格品产生量约为</w:t>
            </w:r>
            <w:r>
              <w:rPr>
                <w:rFonts w:hint="eastAsia"/>
                <w:highlight w:val="none"/>
                <w:lang w:eastAsia="zh-CN"/>
              </w:rPr>
              <w:t>产品量</w:t>
            </w:r>
            <w:r>
              <w:rPr>
                <w:highlight w:val="none"/>
                <w:lang w:eastAsia="zh-CN"/>
              </w:rPr>
              <w:t>的</w:t>
            </w:r>
            <w:r>
              <w:rPr>
                <w:color w:val="000000" w:themeColor="text1"/>
                <w:highlight w:val="none"/>
                <w:lang w:eastAsia="zh-CN"/>
                <w14:textFill>
                  <w14:solidFill>
                    <w14:schemeClr w14:val="tx1"/>
                  </w14:solidFill>
                </w14:textFill>
              </w:rPr>
              <w:t>3%，产品</w:t>
            </w:r>
            <w:r>
              <w:rPr>
                <w:rFonts w:hint="eastAsia"/>
                <w:color w:val="000000" w:themeColor="text1"/>
                <w:highlight w:val="none"/>
                <w:lang w:eastAsia="zh-CN"/>
                <w14:textFill>
                  <w14:solidFill>
                    <w14:schemeClr w14:val="tx1"/>
                  </w14:solidFill>
                </w14:textFill>
              </w:rPr>
              <w:t>重量</w:t>
            </w:r>
            <w:r>
              <w:rPr>
                <w:color w:val="000000" w:themeColor="text1"/>
                <w:highlight w:val="none"/>
                <w:lang w:eastAsia="zh-CN"/>
                <w14:textFill>
                  <w14:solidFill>
                    <w14:schemeClr w14:val="tx1"/>
                  </w14:solidFill>
                </w14:textFill>
              </w:rPr>
              <w:t>约为500</w:t>
            </w:r>
            <w:r>
              <w:rPr>
                <w:rFonts w:hint="eastAsia"/>
                <w:color w:val="000000" w:themeColor="text1"/>
                <w:highlight w:val="none"/>
                <w:lang w:eastAsia="zh-CN"/>
                <w14:textFill>
                  <w14:solidFill>
                    <w14:schemeClr w14:val="tx1"/>
                  </w14:solidFill>
                </w14:textFill>
              </w:rPr>
              <w:t>g/件，则100万件</w:t>
            </w:r>
            <w:r>
              <w:rPr>
                <w:highlight w:val="none"/>
                <w:lang w:eastAsia="zh-CN"/>
              </w:rPr>
              <w:t>驻车执行器</w:t>
            </w:r>
            <w:r>
              <w:rPr>
                <w:rFonts w:hint="eastAsia"/>
                <w:highlight w:val="none"/>
                <w:lang w:eastAsia="zh-CN"/>
              </w:rPr>
              <w:t>约500t/a</w:t>
            </w:r>
            <w:r>
              <w:rPr>
                <w:color w:val="000000" w:themeColor="text1"/>
                <w:highlight w:val="none"/>
                <w:lang w:eastAsia="zh-CN"/>
                <w14:textFill>
                  <w14:solidFill>
                    <w14:schemeClr w14:val="tx1"/>
                  </w14:solidFill>
                </w14:textFill>
              </w:rPr>
              <w:t>。则不合格品产生量约为</w:t>
            </w:r>
            <w:r>
              <w:rPr>
                <w:rFonts w:hint="eastAsia"/>
                <w:color w:val="000000" w:themeColor="text1"/>
                <w:highlight w:val="none"/>
                <w:lang w:eastAsia="zh-CN"/>
                <w14:textFill>
                  <w14:solidFill>
                    <w14:schemeClr w14:val="tx1"/>
                  </w14:solidFill>
                </w14:textFill>
              </w:rPr>
              <w:t>1</w:t>
            </w:r>
            <w:r>
              <w:rPr>
                <w:color w:val="000000" w:themeColor="text1"/>
                <w:highlight w:val="none"/>
                <w:lang w:eastAsia="zh-CN"/>
                <w14:textFill>
                  <w14:solidFill>
                    <w14:schemeClr w14:val="tx1"/>
                  </w14:solidFill>
                </w14:textFill>
              </w:rPr>
              <w:t>5t/a</w:t>
            </w:r>
            <w:r>
              <w:rPr>
                <w:highlight w:val="none"/>
                <w:lang w:eastAsia="zh-CN"/>
              </w:rPr>
              <w:t>，定期交由物资单位回收。</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②废包装材料</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金属零部件</w:t>
            </w:r>
            <w:r>
              <w:rPr>
                <w:rFonts w:hint="eastAsia"/>
                <w:highlight w:val="none"/>
                <w:lang w:eastAsia="zh-CN"/>
              </w:rPr>
              <w:t>使用</w:t>
            </w:r>
            <w:r>
              <w:rPr>
                <w:highlight w:val="none"/>
                <w:lang w:eastAsia="zh-CN"/>
              </w:rPr>
              <w:t>时</w:t>
            </w:r>
            <w:r>
              <w:rPr>
                <w:rFonts w:hint="eastAsia"/>
                <w:highlight w:val="none"/>
                <w:lang w:eastAsia="zh-CN"/>
              </w:rPr>
              <w:t>会产生废包装材料</w:t>
            </w:r>
            <w:r>
              <w:rPr>
                <w:highlight w:val="none"/>
                <w:lang w:eastAsia="zh-CN"/>
              </w:rPr>
              <w:t>，废包装材料产生量</w:t>
            </w:r>
            <w:r>
              <w:rPr>
                <w:rFonts w:hint="eastAsia"/>
                <w:highlight w:val="none"/>
                <w:lang w:eastAsia="zh-CN"/>
              </w:rPr>
              <w:t>约</w:t>
            </w:r>
            <w:r>
              <w:rPr>
                <w:highlight w:val="none"/>
                <w:lang w:eastAsia="zh-CN"/>
              </w:rPr>
              <w:t>为</w:t>
            </w:r>
            <w:r>
              <w:rPr>
                <w:color w:val="000000" w:themeColor="text1"/>
                <w:highlight w:val="none"/>
                <w:lang w:eastAsia="zh-CN"/>
                <w14:textFill>
                  <w14:solidFill>
                    <w14:schemeClr w14:val="tx1"/>
                  </w14:solidFill>
                </w14:textFill>
              </w:rPr>
              <w:t>0.5t/</w:t>
            </w:r>
            <w:r>
              <w:rPr>
                <w:rFonts w:hint="eastAsia"/>
                <w:color w:val="000000" w:themeColor="text1"/>
                <w:highlight w:val="none"/>
                <w:lang w:eastAsia="zh-CN"/>
                <w14:textFill>
                  <w14:solidFill>
                    <w14:schemeClr w14:val="tx1"/>
                  </w14:solidFill>
                </w14:textFill>
              </w:rPr>
              <w:t>a</w:t>
            </w:r>
            <w:r>
              <w:rPr>
                <w:highlight w:val="none"/>
                <w:lang w:eastAsia="zh-CN"/>
              </w:rPr>
              <w:t>，统一收集后暂存一般固废间，定期外售。</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③除尘滤纸</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焊接烟尘处理</w:t>
            </w:r>
            <w:r>
              <w:rPr>
                <w:rFonts w:hint="eastAsia"/>
                <w:highlight w:val="none"/>
                <w:lang w:eastAsia="zh-CN"/>
              </w:rPr>
              <w:t>时会使用除尘滤纸，</w:t>
            </w:r>
            <w:r>
              <w:rPr>
                <w:highlight w:val="none"/>
                <w:lang w:eastAsia="zh-CN"/>
              </w:rPr>
              <w:t>根据建设单位提供的资料，</w:t>
            </w:r>
            <w:r>
              <w:rPr>
                <w:rFonts w:hint="eastAsia"/>
                <w:highlight w:val="none"/>
                <w:lang w:eastAsia="zh-CN"/>
              </w:rPr>
              <w:t>除尘滤纸</w:t>
            </w:r>
            <w:r>
              <w:rPr>
                <w:highlight w:val="none"/>
                <w:lang w:eastAsia="zh-CN"/>
              </w:rPr>
              <w:t>产生量</w:t>
            </w:r>
            <w:r>
              <w:rPr>
                <w:rFonts w:hint="eastAsia"/>
                <w:highlight w:val="none"/>
                <w:lang w:eastAsia="zh-CN"/>
              </w:rPr>
              <w:t>约</w:t>
            </w:r>
            <w:r>
              <w:rPr>
                <w:color w:val="auto"/>
                <w:highlight w:val="none"/>
                <w:lang w:eastAsia="zh-CN"/>
              </w:rPr>
              <w:t>为0.</w:t>
            </w:r>
            <w:r>
              <w:rPr>
                <w:rFonts w:hint="eastAsia"/>
                <w:color w:val="auto"/>
                <w:highlight w:val="none"/>
                <w:lang w:eastAsia="zh-CN"/>
              </w:rPr>
              <w:t>02</w:t>
            </w:r>
            <w:r>
              <w:rPr>
                <w:color w:val="auto"/>
                <w:highlight w:val="none"/>
                <w:lang w:eastAsia="zh-CN"/>
              </w:rPr>
              <w:t>t/a，由</w:t>
            </w:r>
            <w:r>
              <w:rPr>
                <w:color w:val="000000" w:themeColor="text1"/>
                <w:highlight w:val="none"/>
                <w:lang w:eastAsia="zh-CN"/>
                <w14:textFill>
                  <w14:solidFill>
                    <w14:schemeClr w14:val="tx1"/>
                  </w14:solidFill>
                </w14:textFill>
              </w:rPr>
              <w:t>环卫工人统一清运</w:t>
            </w:r>
            <w:r>
              <w:rPr>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（2）危险废物</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①废</w:t>
            </w:r>
            <w:r>
              <w:rPr>
                <w:highlight w:val="none"/>
              </w:rPr>
              <w:t>润滑油</w:t>
            </w:r>
            <w:r>
              <w:rPr>
                <w:rFonts w:hint="eastAsia"/>
                <w:highlight w:val="none"/>
                <w:lang w:eastAsia="zh-CN"/>
              </w:rPr>
              <w:t>、</w:t>
            </w:r>
            <w:r>
              <w:rPr>
                <w:highlight w:val="none"/>
                <w:lang w:eastAsia="zh-CN"/>
              </w:rPr>
              <w:t>废</w:t>
            </w:r>
            <w:r>
              <w:rPr>
                <w:highlight w:val="none"/>
              </w:rPr>
              <w:t>润滑油桶及润滑</w:t>
            </w:r>
            <w:r>
              <w:rPr>
                <w:rFonts w:hint="eastAsia"/>
                <w:highlight w:val="none"/>
                <w:lang w:val="en-US" w:eastAsia="zh-CN"/>
              </w:rPr>
              <w:t>脂</w:t>
            </w:r>
            <w:r>
              <w:rPr>
                <w:highlight w:val="none"/>
              </w:rPr>
              <w:t>桶</w:t>
            </w:r>
          </w:p>
          <w:p>
            <w:pPr>
              <w:pStyle w:val="8"/>
              <w:keepNext w:val="0"/>
              <w:keepLines w:val="0"/>
              <w:pageBreakBefore w:val="0"/>
              <w:kinsoku/>
              <w:wordWrap/>
              <w:overflowPunct w:val="0"/>
              <w:topLinePunct w:val="0"/>
              <w:autoSpaceDE w:val="0"/>
              <w:autoSpaceDN w:val="0"/>
              <w:bidi w:val="0"/>
              <w:adjustRightInd w:val="0"/>
              <w:snapToGrid w:val="0"/>
              <w:ind w:firstLine="480"/>
              <w:rPr>
                <w:rFonts w:hint="eastAsia"/>
                <w:highlight w:val="none"/>
                <w:lang w:eastAsia="zh-CN"/>
              </w:rPr>
            </w:pPr>
            <w:r>
              <w:rPr>
                <w:rFonts w:hint="eastAsia"/>
                <w:highlight w:val="none"/>
                <w:lang w:eastAsia="zh-CN"/>
              </w:rPr>
              <w:t>项目生产时需要对齿轮和输出轴进行润滑，会产生约46个废润滑</w:t>
            </w:r>
            <w:r>
              <w:rPr>
                <w:rFonts w:hint="eastAsia"/>
                <w:highlight w:val="none"/>
                <w:lang w:val="en-US" w:eastAsia="zh-CN"/>
              </w:rPr>
              <w:t>脂</w:t>
            </w:r>
            <w:r>
              <w:rPr>
                <w:rFonts w:hint="eastAsia"/>
                <w:highlight w:val="none"/>
                <w:lang w:eastAsia="zh-CN"/>
              </w:rPr>
              <w:t>桶，单个桶重约0.2kg，产生量约为0.0092t/a。项目对机械维修及保养时会产生</w:t>
            </w:r>
            <w:r>
              <w:rPr>
                <w:highlight w:val="none"/>
                <w:lang w:eastAsia="zh-CN"/>
              </w:rPr>
              <w:t>废润滑油及润滑油桶</w:t>
            </w:r>
            <w:r>
              <w:rPr>
                <w:rFonts w:hint="eastAsia"/>
                <w:highlight w:val="none"/>
                <w:lang w:eastAsia="zh-CN"/>
              </w:rPr>
              <w:t>，废润滑油产生量约为0.05t/a，废包装桶产生量约为3个，则产生的废机油桶0.0006t/a。则废</w:t>
            </w:r>
            <w:r>
              <w:rPr>
                <w:highlight w:val="none"/>
                <w:lang w:eastAsia="zh-CN"/>
              </w:rPr>
              <w:t>废</w:t>
            </w:r>
            <w:r>
              <w:rPr>
                <w:highlight w:val="none"/>
              </w:rPr>
              <w:t>润滑油</w:t>
            </w:r>
            <w:r>
              <w:rPr>
                <w:rFonts w:hint="eastAsia"/>
                <w:highlight w:val="none"/>
                <w:lang w:eastAsia="zh-CN"/>
              </w:rPr>
              <w:t>、</w:t>
            </w:r>
            <w:r>
              <w:rPr>
                <w:highlight w:val="none"/>
                <w:lang w:eastAsia="zh-CN"/>
              </w:rPr>
              <w:t>废</w:t>
            </w:r>
            <w:r>
              <w:rPr>
                <w:highlight w:val="none"/>
              </w:rPr>
              <w:t>润滑油桶及润滑</w:t>
            </w:r>
            <w:r>
              <w:rPr>
                <w:rFonts w:hint="eastAsia"/>
                <w:highlight w:val="none"/>
                <w:lang w:val="en-US" w:eastAsia="zh-CN"/>
              </w:rPr>
              <w:t>脂</w:t>
            </w:r>
            <w:r>
              <w:rPr>
                <w:highlight w:val="none"/>
              </w:rPr>
              <w:t>桶</w:t>
            </w:r>
            <w:r>
              <w:rPr>
                <w:rFonts w:hint="eastAsia"/>
                <w:highlight w:val="none"/>
                <w:lang w:eastAsia="zh-CN"/>
              </w:rPr>
              <w:t>产生量为</w:t>
            </w:r>
            <w:r>
              <w:rPr>
                <w:rFonts w:hint="eastAsia"/>
                <w:color w:val="000000" w:themeColor="text1"/>
                <w:highlight w:val="none"/>
                <w:lang w:eastAsia="zh-CN"/>
                <w14:textFill>
                  <w14:solidFill>
                    <w14:schemeClr w14:val="tx1"/>
                  </w14:solidFill>
                </w14:textFill>
              </w:rPr>
              <w:t>0.0598t/a</w:t>
            </w:r>
            <w:r>
              <w:rPr>
                <w:rFonts w:hint="eastAsia"/>
                <w:highlight w:val="none"/>
                <w:lang w:eastAsia="zh-CN"/>
              </w:rPr>
              <w:t>，通过对照《国家危险废物名录》（2025年版），</w:t>
            </w:r>
            <w:r>
              <w:rPr>
                <w:highlight w:val="none"/>
                <w:lang w:eastAsia="zh-CN"/>
              </w:rPr>
              <w:t>废</w:t>
            </w:r>
            <w:r>
              <w:rPr>
                <w:highlight w:val="none"/>
              </w:rPr>
              <w:t>润滑油</w:t>
            </w:r>
            <w:r>
              <w:rPr>
                <w:rFonts w:hint="eastAsia"/>
                <w:highlight w:val="none"/>
                <w:lang w:eastAsia="zh-CN"/>
              </w:rPr>
              <w:t>、</w:t>
            </w:r>
            <w:r>
              <w:rPr>
                <w:highlight w:val="none"/>
                <w:lang w:eastAsia="zh-CN"/>
              </w:rPr>
              <w:t>废</w:t>
            </w:r>
            <w:r>
              <w:rPr>
                <w:highlight w:val="none"/>
              </w:rPr>
              <w:t>润滑油桶及润滑</w:t>
            </w:r>
            <w:r>
              <w:rPr>
                <w:rFonts w:hint="eastAsia"/>
                <w:highlight w:val="none"/>
                <w:lang w:val="en-US" w:eastAsia="zh-CN"/>
              </w:rPr>
              <w:t>脂</w:t>
            </w:r>
            <w:r>
              <w:rPr>
                <w:highlight w:val="none"/>
              </w:rPr>
              <w:t>桶</w:t>
            </w:r>
            <w:r>
              <w:rPr>
                <w:rFonts w:hint="eastAsia"/>
                <w:highlight w:val="none"/>
                <w:lang w:eastAsia="zh-CN"/>
              </w:rPr>
              <w:t>属于HW08 废矿物油及含矿物油废物，废物代码为900-214-08。收集后委托有危废处置资质的单位进行处理。</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②</w:t>
            </w:r>
            <w:r>
              <w:rPr>
                <w:rFonts w:cs="Times New Roman"/>
                <w:highlight w:val="none"/>
                <w:lang w:eastAsia="zh-CN"/>
              </w:rPr>
              <w:t>废</w:t>
            </w:r>
            <w:r>
              <w:rPr>
                <w:highlight w:val="none"/>
                <w:lang w:eastAsia="zh-CN"/>
              </w:rPr>
              <w:t>抹布和手套</w:t>
            </w:r>
          </w:p>
          <w:p>
            <w:pPr>
              <w:pStyle w:val="8"/>
              <w:keepNext w:val="0"/>
              <w:keepLines w:val="0"/>
              <w:pageBreakBefore w:val="0"/>
              <w:kinsoku/>
              <w:wordWrap/>
              <w:overflowPunct w:val="0"/>
              <w:topLinePunct w:val="0"/>
              <w:autoSpaceDE w:val="0"/>
              <w:autoSpaceDN w:val="0"/>
              <w:bidi w:val="0"/>
              <w:adjustRightInd w:val="0"/>
              <w:snapToGrid w:val="0"/>
              <w:ind w:firstLine="480"/>
              <w:rPr>
                <w:rFonts w:hint="eastAsia"/>
                <w:highlight w:val="none"/>
                <w:lang w:eastAsia="zh-CN"/>
              </w:rPr>
            </w:pPr>
            <w:r>
              <w:rPr>
                <w:highlight w:val="none"/>
                <w:lang w:eastAsia="zh-CN"/>
              </w:rPr>
              <w:t>根据企业提供资料，废抹布和手套产生量</w:t>
            </w:r>
            <w:r>
              <w:rPr>
                <w:rFonts w:hint="eastAsia"/>
                <w:highlight w:val="none"/>
                <w:lang w:val="en-US" w:eastAsia="zh-CN"/>
              </w:rPr>
              <w:t>约</w:t>
            </w:r>
            <w:r>
              <w:rPr>
                <w:highlight w:val="none"/>
                <w:lang w:eastAsia="zh-CN"/>
              </w:rPr>
              <w:t>为0.</w:t>
            </w:r>
            <w:r>
              <w:rPr>
                <w:rFonts w:hint="eastAsia"/>
                <w:highlight w:val="none"/>
                <w:lang w:val="en-US" w:eastAsia="zh-CN"/>
              </w:rPr>
              <w:t>1</w:t>
            </w:r>
            <w:r>
              <w:rPr>
                <w:highlight w:val="none"/>
                <w:lang w:eastAsia="zh-CN"/>
              </w:rPr>
              <w:t>t/a，</w:t>
            </w:r>
            <w:r>
              <w:rPr>
                <w:rFonts w:hint="eastAsia"/>
                <w:highlight w:val="none"/>
                <w:lang w:eastAsia="zh-CN"/>
              </w:rPr>
              <w:t>根据企业提供资料，根据《国家危险废物名录》（2025版）含油抹布及手套属于HW49其他废物，废物代码为900-041-49，收集后委托有危废处置资质的单位进行处理。</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（3）</w:t>
            </w:r>
            <w:r>
              <w:rPr>
                <w:highlight w:val="none"/>
                <w:lang w:eastAsia="zh-CN"/>
              </w:rPr>
              <w:t>生活垃圾</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①生活垃圾</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人均生活垃圾产生量按0.5kg/人·d计，</w:t>
            </w:r>
            <w:r>
              <w:rPr>
                <w:rFonts w:hint="eastAsia"/>
                <w:highlight w:val="none"/>
                <w:lang w:eastAsia="zh-CN"/>
              </w:rPr>
              <w:t>本项目新增15</w:t>
            </w:r>
            <w:r>
              <w:rPr>
                <w:highlight w:val="none"/>
                <w:lang w:eastAsia="zh-CN"/>
              </w:rPr>
              <w:t>人，则产生量为</w:t>
            </w:r>
            <w:r>
              <w:rPr>
                <w:rFonts w:hint="eastAsia"/>
                <w:highlight w:val="none"/>
                <w:lang w:eastAsia="zh-CN"/>
              </w:rPr>
              <w:t>2.25</w:t>
            </w:r>
            <w:r>
              <w:rPr>
                <w:highlight w:val="none"/>
                <w:lang w:eastAsia="zh-CN"/>
              </w:rPr>
              <w:t>t/a，由环卫部门统一清运。</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②</w:t>
            </w:r>
            <w:r>
              <w:rPr>
                <w:rFonts w:hint="eastAsia"/>
                <w:highlight w:val="none"/>
                <w:lang w:eastAsia="zh-CN"/>
              </w:rPr>
              <w:t>餐饮垃圾</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项目就餐员工新增15人，垃圾产生量按每人1kg/d估算，餐饮垃圾产生量为4.5t/a，储存在专用密闭容器后由资质单位收集处理。</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③</w:t>
            </w:r>
            <w:r>
              <w:rPr>
                <w:rFonts w:hint="eastAsia"/>
                <w:highlight w:val="none"/>
                <w:lang w:eastAsia="zh-CN"/>
              </w:rPr>
              <w:t>废油脂</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项目就餐员工新增15人，人均耗食用油量按30g/天计，按消费总量10%计算，油水分离器则新增0.0135t/a的废油脂，储存在专用密闭容器后由资质单位收集处理。</w:t>
            </w:r>
          </w:p>
          <w:p>
            <w:pPr>
              <w:pStyle w:val="8"/>
              <w:keepNext w:val="0"/>
              <w:keepLines w:val="0"/>
              <w:pageBreakBefore w:val="0"/>
              <w:kinsoku/>
              <w:wordWrap/>
              <w:overflowPunct w:val="0"/>
              <w:topLinePunct w:val="0"/>
              <w:autoSpaceDE w:val="0"/>
              <w:autoSpaceDN w:val="0"/>
              <w:bidi w:val="0"/>
              <w:adjustRightInd w:val="0"/>
              <w:snapToGrid w:val="0"/>
              <w:ind w:firstLine="480"/>
              <w:rPr>
                <w:color w:val="000000" w:themeColor="text1"/>
                <w:highlight w:val="none"/>
                <w:lang w:eastAsia="zh-CN"/>
                <w14:textFill>
                  <w14:solidFill>
                    <w14:schemeClr w14:val="tx1"/>
                  </w14:solidFill>
                </w14:textFill>
              </w:rPr>
            </w:pPr>
            <w:r>
              <w:rPr>
                <w:rFonts w:hint="eastAsia"/>
                <w:color w:val="000000" w:themeColor="text1"/>
                <w:highlight w:val="none"/>
                <w:lang w:eastAsia="zh-CN"/>
                <w14:textFill>
                  <w14:solidFill>
                    <w14:schemeClr w14:val="tx1"/>
                  </w14:solidFill>
                </w14:textFill>
              </w:rPr>
              <w:t>④化粪池污泥</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类比同类项目，项目员工新增15人</w:t>
            </w:r>
            <w:r>
              <w:rPr>
                <w:rFonts w:hint="eastAsia"/>
                <w:highlight w:val="none"/>
                <w:lang w:eastAsia="zh-CN"/>
              </w:rPr>
              <w:t>，</w:t>
            </w:r>
            <w:r>
              <w:rPr>
                <w:highlight w:val="none"/>
                <w:lang w:eastAsia="zh-CN"/>
              </w:rPr>
              <w:t>项目化粪池污泥产生量</w:t>
            </w:r>
            <w:r>
              <w:rPr>
                <w:rFonts w:hint="eastAsia"/>
                <w:highlight w:val="none"/>
                <w:lang w:eastAsia="zh-CN"/>
              </w:rPr>
              <w:t>新增约</w:t>
            </w:r>
            <w:r>
              <w:rPr>
                <w:highlight w:val="none"/>
                <w:lang w:eastAsia="zh-CN"/>
              </w:rPr>
              <w:t>为</w:t>
            </w:r>
            <w:r>
              <w:rPr>
                <w:rFonts w:hint="eastAsia"/>
                <w:highlight w:val="none"/>
                <w:lang w:eastAsia="zh-CN"/>
              </w:rPr>
              <w:t>0.2</w:t>
            </w:r>
            <w:r>
              <w:rPr>
                <w:highlight w:val="none"/>
                <w:lang w:eastAsia="zh-CN"/>
              </w:rPr>
              <w:t>t/a，由环卫部门统一清运。</w:t>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highlight w:val="none"/>
                <w:lang w:eastAsia="zh-CN"/>
              </w:rPr>
              <w:t>表4-</w:t>
            </w:r>
            <w:r>
              <w:rPr>
                <w:rFonts w:hint="eastAsia"/>
                <w:highlight w:val="none"/>
                <w:lang w:eastAsia="zh-CN"/>
              </w:rPr>
              <w:t>11</w:t>
            </w:r>
            <w:r>
              <w:rPr>
                <w:highlight w:val="none"/>
                <w:lang w:eastAsia="zh-CN"/>
              </w:rPr>
              <w:t xml:space="preserve"> </w:t>
            </w:r>
            <w:r>
              <w:rPr>
                <w:rFonts w:hint="eastAsia"/>
                <w:highlight w:val="none"/>
                <w:lang w:eastAsia="zh-CN"/>
              </w:rPr>
              <w:t>本</w:t>
            </w:r>
            <w:r>
              <w:rPr>
                <w:highlight w:val="none"/>
                <w:lang w:eastAsia="zh-CN"/>
              </w:rPr>
              <w:t>项目固废相关信息汇总表</w:t>
            </w:r>
          </w:p>
          <w:tbl>
            <w:tblPr>
              <w:tblStyle w:val="21"/>
              <w:tblW w:w="801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16"/>
              <w:gridCol w:w="565"/>
              <w:gridCol w:w="667"/>
              <w:gridCol w:w="1341"/>
              <w:gridCol w:w="638"/>
              <w:gridCol w:w="503"/>
              <w:gridCol w:w="944"/>
              <w:gridCol w:w="630"/>
              <w:gridCol w:w="716"/>
              <w:gridCol w:w="79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固废名称</w:t>
                  </w:r>
                </w:p>
              </w:tc>
              <w:tc>
                <w:tcPr>
                  <w:tcW w:w="56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废物类别</w:t>
                  </w:r>
                </w:p>
              </w:tc>
              <w:tc>
                <w:tcPr>
                  <w:tcW w:w="66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废物类别</w:t>
                  </w:r>
                </w:p>
              </w:tc>
              <w:tc>
                <w:tcPr>
                  <w:tcW w:w="13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废物代码</w:t>
                  </w:r>
                </w:p>
              </w:tc>
              <w:tc>
                <w:tcPr>
                  <w:tcW w:w="638" w:type="dxa"/>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产生量</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color w:val="000000" w:themeColor="text1"/>
                      <w:highlight w:val="none"/>
                      <w14:textFill>
                        <w14:solidFill>
                          <w14:schemeClr w14:val="tx1"/>
                        </w14:solidFill>
                      </w14:textFill>
                    </w:rPr>
                    <w:t>t/a</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形态</w:t>
                  </w:r>
                </w:p>
              </w:tc>
              <w:tc>
                <w:tcPr>
                  <w:tcW w:w="94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主要成分</w:t>
                  </w:r>
                </w:p>
              </w:tc>
              <w:tc>
                <w:tcPr>
                  <w:tcW w:w="6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有害成分</w:t>
                  </w:r>
                </w:p>
              </w:tc>
              <w:tc>
                <w:tcPr>
                  <w:tcW w:w="7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危险特性</w:t>
                  </w:r>
                </w:p>
              </w:tc>
              <w:tc>
                <w:tcPr>
                  <w:tcW w:w="79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污染防治措施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不合格品</w:t>
                  </w:r>
                </w:p>
              </w:tc>
              <w:tc>
                <w:tcPr>
                  <w:tcW w:w="5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一般固废</w:t>
                  </w:r>
                </w:p>
              </w:tc>
              <w:tc>
                <w:tcPr>
                  <w:tcW w:w="66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SW17</w:t>
                  </w:r>
                </w:p>
              </w:tc>
              <w:tc>
                <w:tcPr>
                  <w:tcW w:w="13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900-001-S17</w:t>
                  </w:r>
                </w:p>
              </w:tc>
              <w:tc>
                <w:tcPr>
                  <w:tcW w:w="6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15</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固态</w:t>
                  </w:r>
                </w:p>
              </w:tc>
              <w:tc>
                <w:tcPr>
                  <w:tcW w:w="94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塑料</w:t>
                  </w:r>
                </w:p>
              </w:tc>
              <w:tc>
                <w:tcPr>
                  <w:tcW w:w="6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7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79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交由物资单位回收</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废包装</w:t>
                  </w:r>
                  <w:r>
                    <w:rPr>
                      <w:rFonts w:hint="eastAsia"/>
                      <w:highlight w:val="none"/>
                    </w:rPr>
                    <w:t>材料</w:t>
                  </w:r>
                </w:p>
              </w:tc>
              <w:tc>
                <w:tcPr>
                  <w:tcW w:w="5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6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SW17</w:t>
                  </w:r>
                </w:p>
              </w:tc>
              <w:tc>
                <w:tcPr>
                  <w:tcW w:w="13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900-005-S17</w:t>
                  </w:r>
                </w:p>
              </w:tc>
              <w:tc>
                <w:tcPr>
                  <w:tcW w:w="6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0.5</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固态</w:t>
                  </w:r>
                </w:p>
              </w:tc>
              <w:tc>
                <w:tcPr>
                  <w:tcW w:w="94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塑料</w:t>
                  </w:r>
                </w:p>
              </w:tc>
              <w:tc>
                <w:tcPr>
                  <w:tcW w:w="6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7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79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除尘滤纸</w:t>
                  </w:r>
                </w:p>
              </w:tc>
              <w:tc>
                <w:tcPr>
                  <w:tcW w:w="5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6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SW</w:t>
                  </w:r>
                  <w:r>
                    <w:rPr>
                      <w:rFonts w:hint="eastAsia"/>
                      <w:highlight w:val="none"/>
                    </w:rPr>
                    <w:t>59</w:t>
                  </w:r>
                </w:p>
              </w:tc>
              <w:tc>
                <w:tcPr>
                  <w:tcW w:w="13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900-099-S59</w:t>
                  </w:r>
                </w:p>
              </w:tc>
              <w:tc>
                <w:tcPr>
                  <w:tcW w:w="6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0.02</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固态</w:t>
                  </w:r>
                </w:p>
              </w:tc>
              <w:tc>
                <w:tcPr>
                  <w:tcW w:w="94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纸</w:t>
                  </w:r>
                </w:p>
              </w:tc>
              <w:tc>
                <w:tcPr>
                  <w:tcW w:w="6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7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79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由环卫工人统一清运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9"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lang w:eastAsia="zh-CN"/>
                    </w:rPr>
                    <w:t>废</w:t>
                  </w:r>
                  <w:r>
                    <w:rPr>
                      <w:highlight w:val="none"/>
                    </w:rPr>
                    <w:t>润滑油</w:t>
                  </w:r>
                  <w:r>
                    <w:rPr>
                      <w:rFonts w:hint="eastAsia"/>
                      <w:highlight w:val="none"/>
                      <w:lang w:eastAsia="zh-CN"/>
                    </w:rPr>
                    <w:t>、</w:t>
                  </w:r>
                  <w:r>
                    <w:rPr>
                      <w:highlight w:val="none"/>
                      <w:lang w:eastAsia="zh-CN"/>
                    </w:rPr>
                    <w:t>废</w:t>
                  </w:r>
                  <w:r>
                    <w:rPr>
                      <w:highlight w:val="none"/>
                    </w:rPr>
                    <w:t>润滑油桶及润滑</w:t>
                  </w:r>
                  <w:r>
                    <w:rPr>
                      <w:rFonts w:hint="eastAsia"/>
                      <w:highlight w:val="none"/>
                      <w:lang w:val="en-US" w:eastAsia="zh-CN"/>
                    </w:rPr>
                    <w:t>脂</w:t>
                  </w:r>
                  <w:r>
                    <w:rPr>
                      <w:highlight w:val="none"/>
                    </w:rPr>
                    <w:t>桶</w:t>
                  </w:r>
                </w:p>
              </w:tc>
              <w:tc>
                <w:tcPr>
                  <w:tcW w:w="5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危险废物</w:t>
                  </w:r>
                </w:p>
              </w:tc>
              <w:tc>
                <w:tcPr>
                  <w:tcW w:w="66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HW08</w:t>
                  </w:r>
                </w:p>
              </w:tc>
              <w:tc>
                <w:tcPr>
                  <w:tcW w:w="13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900-214-08</w:t>
                  </w:r>
                </w:p>
              </w:tc>
              <w:tc>
                <w:tcPr>
                  <w:tcW w:w="6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0.0598</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液态</w:t>
                  </w:r>
                </w:p>
              </w:tc>
              <w:tc>
                <w:tcPr>
                  <w:tcW w:w="94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矿物油</w:t>
                  </w:r>
                </w:p>
              </w:tc>
              <w:tc>
                <w:tcPr>
                  <w:tcW w:w="6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矿物油</w:t>
                  </w:r>
                </w:p>
              </w:tc>
              <w:tc>
                <w:tcPr>
                  <w:tcW w:w="7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T，I</w:t>
                  </w:r>
                </w:p>
              </w:tc>
              <w:tc>
                <w:tcPr>
                  <w:tcW w:w="79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存放于危废暂存间，定期交由有资质单位处理处置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lang w:eastAsia="zh-CN"/>
                    </w:rPr>
                  </w:pPr>
                  <w:r>
                    <w:rPr>
                      <w:rFonts w:cs="Times New Roman"/>
                      <w:highlight w:val="none"/>
                      <w:lang w:eastAsia="zh-CN"/>
                    </w:rPr>
                    <w:t>废</w:t>
                  </w:r>
                  <w:r>
                    <w:rPr>
                      <w:highlight w:val="none"/>
                      <w:lang w:eastAsia="zh-CN"/>
                    </w:rPr>
                    <w:t>抹布和手套</w:t>
                  </w:r>
                </w:p>
              </w:tc>
              <w:tc>
                <w:tcPr>
                  <w:tcW w:w="5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rFonts w:hint="eastAsia"/>
                      <w:highlight w:val="none"/>
                    </w:rPr>
                  </w:pPr>
                </w:p>
              </w:tc>
              <w:tc>
                <w:tcPr>
                  <w:tcW w:w="667" w:type="dxa"/>
                  <w:vAlign w:val="center"/>
                </w:tcPr>
                <w:p>
                  <w:pPr>
                    <w:pStyle w:val="17"/>
                    <w:bidi w:val="0"/>
                    <w:jc w:val="center"/>
                  </w:pPr>
                  <w:r>
                    <w:t>HW49</w:t>
                  </w:r>
                </w:p>
              </w:tc>
              <w:tc>
                <w:tcPr>
                  <w:tcW w:w="1341" w:type="dxa"/>
                  <w:vAlign w:val="center"/>
                </w:tcPr>
                <w:p>
                  <w:pPr>
                    <w:pStyle w:val="17"/>
                    <w:bidi w:val="0"/>
                    <w:jc w:val="center"/>
                  </w:pPr>
                  <w:r>
                    <w:t>900-041-49</w:t>
                  </w:r>
                </w:p>
              </w:tc>
              <w:tc>
                <w:tcPr>
                  <w:tcW w:w="638" w:type="dxa"/>
                  <w:vAlign w:val="center"/>
                </w:tcPr>
                <w:p>
                  <w:pPr>
                    <w:pStyle w:val="17"/>
                    <w:bidi w:val="0"/>
                    <w:jc w:val="center"/>
                    <w:rPr>
                      <w:rFonts w:hint="eastAsia" w:eastAsia="宋体"/>
                      <w:lang w:eastAsia="zh-CN"/>
                    </w:rPr>
                  </w:pPr>
                  <w:r>
                    <w:t>0.</w:t>
                  </w:r>
                  <w:r>
                    <w:rPr>
                      <w:rFonts w:hint="eastAsia"/>
                      <w:lang w:val="en-US" w:eastAsia="zh-CN"/>
                    </w:rPr>
                    <w:t>1</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固态</w:t>
                  </w:r>
                </w:p>
              </w:tc>
              <w:tc>
                <w:tcPr>
                  <w:tcW w:w="944" w:type="dxa"/>
                  <w:vAlign w:val="center"/>
                </w:tcPr>
                <w:p>
                  <w:pPr>
                    <w:pStyle w:val="20"/>
                    <w:spacing w:before="35" w:line="206" w:lineRule="auto"/>
                    <w:ind w:left="114" w:leftChars="0"/>
                    <w:jc w:val="center"/>
                    <w:rPr>
                      <w:highlight w:val="none"/>
                    </w:rPr>
                  </w:pPr>
                  <w:r>
                    <w:rPr>
                      <w:sz w:val="20"/>
                      <w:szCs w:val="20"/>
                    </w:rPr>
                    <w:t>矿物油、抹布</w:t>
                  </w:r>
                </w:p>
              </w:tc>
              <w:tc>
                <w:tcPr>
                  <w:tcW w:w="630" w:type="dxa"/>
                  <w:vAlign w:val="center"/>
                </w:tcPr>
                <w:p>
                  <w:pPr>
                    <w:pStyle w:val="20"/>
                    <w:spacing w:before="35" w:line="206" w:lineRule="auto"/>
                    <w:ind w:left="169" w:leftChars="0"/>
                    <w:jc w:val="center"/>
                    <w:rPr>
                      <w:highlight w:val="none"/>
                    </w:rPr>
                  </w:pPr>
                  <w:r>
                    <w:rPr>
                      <w:spacing w:val="7"/>
                      <w:sz w:val="20"/>
                      <w:szCs w:val="20"/>
                    </w:rPr>
                    <w:t>矿物油</w:t>
                  </w:r>
                </w:p>
              </w:tc>
              <w:tc>
                <w:tcPr>
                  <w:tcW w:w="716" w:type="dxa"/>
                  <w:vAlign w:val="center"/>
                </w:tcPr>
                <w:p>
                  <w:pPr>
                    <w:pStyle w:val="17"/>
                    <w:bidi w:val="0"/>
                    <w:rPr>
                      <w:highlight w:val="none"/>
                    </w:rPr>
                  </w:pPr>
                  <w:r>
                    <w:t>T/In</w:t>
                  </w:r>
                </w:p>
              </w:tc>
              <w:tc>
                <w:tcPr>
                  <w:tcW w:w="79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eastAsia"/>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生活垃圾</w:t>
                  </w:r>
                </w:p>
              </w:tc>
              <w:tc>
                <w:tcPr>
                  <w:tcW w:w="56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生活垃圾</w:t>
                  </w:r>
                </w:p>
              </w:tc>
              <w:tc>
                <w:tcPr>
                  <w:tcW w:w="66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13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6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2.25</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固态</w:t>
                  </w:r>
                </w:p>
              </w:tc>
              <w:tc>
                <w:tcPr>
                  <w:tcW w:w="94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包装袋、瓶等</w:t>
                  </w:r>
                </w:p>
              </w:tc>
              <w:tc>
                <w:tcPr>
                  <w:tcW w:w="6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7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w:t>
                  </w:r>
                </w:p>
              </w:tc>
              <w:tc>
                <w:tcPr>
                  <w:tcW w:w="79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由环卫部门统一清运</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餐饮垃圾</w:t>
                  </w:r>
                </w:p>
              </w:tc>
              <w:tc>
                <w:tcPr>
                  <w:tcW w:w="5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6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13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6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4.5</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固态</w:t>
                  </w:r>
                </w:p>
              </w:tc>
              <w:tc>
                <w:tcPr>
                  <w:tcW w:w="94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厨余</w:t>
                  </w:r>
                </w:p>
              </w:tc>
              <w:tc>
                <w:tcPr>
                  <w:tcW w:w="6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7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795"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由资源单位收集处置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废油脂</w:t>
                  </w:r>
                </w:p>
              </w:tc>
              <w:tc>
                <w:tcPr>
                  <w:tcW w:w="5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6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13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6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0.0135</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液体</w:t>
                  </w:r>
                </w:p>
              </w:tc>
              <w:tc>
                <w:tcPr>
                  <w:tcW w:w="94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动植物油</w:t>
                  </w:r>
                </w:p>
              </w:tc>
              <w:tc>
                <w:tcPr>
                  <w:tcW w:w="6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7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79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7" w:hRule="atLeast"/>
                <w:jc w:val="center"/>
              </w:trPr>
              <w:tc>
                <w:tcPr>
                  <w:tcW w:w="12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化粪池污泥</w:t>
                  </w:r>
                </w:p>
              </w:tc>
              <w:tc>
                <w:tcPr>
                  <w:tcW w:w="565"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66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13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6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0.2</w:t>
                  </w:r>
                </w:p>
              </w:tc>
              <w:tc>
                <w:tcPr>
                  <w:tcW w:w="5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固体</w:t>
                  </w:r>
                </w:p>
              </w:tc>
              <w:tc>
                <w:tcPr>
                  <w:tcW w:w="94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污泥</w:t>
                  </w:r>
                </w:p>
              </w:tc>
              <w:tc>
                <w:tcPr>
                  <w:tcW w:w="63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71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w:t>
                  </w:r>
                </w:p>
              </w:tc>
              <w:tc>
                <w:tcPr>
                  <w:tcW w:w="79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由环卫部门统一清运</w:t>
                  </w:r>
                </w:p>
              </w:tc>
            </w:tr>
          </w:tbl>
          <w:p>
            <w:pPr>
              <w:pStyle w:val="18"/>
              <w:keepNext w:val="0"/>
              <w:keepLines w:val="0"/>
              <w:pageBreakBefore w:val="0"/>
              <w:kinsoku/>
              <w:wordWrap/>
              <w:overflowPunct w:val="0"/>
              <w:topLinePunct w:val="0"/>
              <w:autoSpaceDE w:val="0"/>
              <w:autoSpaceDN w:val="0"/>
              <w:bidi w:val="0"/>
              <w:adjustRightInd w:val="0"/>
              <w:snapToGrid w:val="0"/>
              <w:jc w:val="left"/>
              <w:rPr>
                <w:highlight w:val="none"/>
                <w:lang w:eastAsia="zh-CN"/>
              </w:rPr>
            </w:pPr>
            <w:r>
              <w:rPr>
                <w:highlight w:val="none"/>
                <w:lang w:eastAsia="zh-CN"/>
              </w:rPr>
              <w:t>备注：C（腐蚀性）、T（毒性）、I（易燃性）、R（反应性）、In（感染性）</w:t>
            </w:r>
          </w:p>
          <w:p>
            <w:pPr>
              <w:pStyle w:val="20"/>
              <w:keepNext w:val="0"/>
              <w:keepLines w:val="0"/>
              <w:pageBreakBefore w:val="0"/>
              <w:kinsoku/>
              <w:wordWrap/>
              <w:overflowPunct w:val="0"/>
              <w:topLinePunct w:val="0"/>
              <w:autoSpaceDE w:val="0"/>
              <w:autoSpaceDN w:val="0"/>
              <w:bidi w:val="0"/>
              <w:adjustRightInd w:val="0"/>
              <w:snapToGrid w:val="0"/>
              <w:spacing w:before="40" w:line="219" w:lineRule="auto"/>
              <w:ind w:left="588"/>
              <w:rPr>
                <w:rFonts w:hint="eastAsia"/>
                <w:highlight w:val="none"/>
                <w:lang w:eastAsia="zh-CN"/>
              </w:rPr>
            </w:pPr>
            <w:r>
              <w:rPr>
                <w:rFonts w:hint="eastAsia" w:ascii="Times New Roman" w:hAnsi="Times New Roman" w:cs="Times New Roman"/>
                <w:b/>
                <w:bCs/>
                <w:spacing w:val="-4"/>
                <w:highlight w:val="none"/>
                <w:lang w:eastAsia="zh-CN"/>
              </w:rPr>
              <w:t>2</w:t>
            </w:r>
            <w:r>
              <w:rPr>
                <w:b/>
                <w:bCs/>
                <w:spacing w:val="-4"/>
                <w:highlight w:val="none"/>
                <w:lang w:eastAsia="zh-CN"/>
              </w:rPr>
              <w:t>、固废贮存场所（设施）污染防治措施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w:t>
            </w:r>
            <w:r>
              <w:rPr>
                <w:rFonts w:hint="eastAsia"/>
                <w:highlight w:val="none"/>
                <w:lang w:eastAsia="zh-CN"/>
              </w:rPr>
              <w:t>1</w:t>
            </w:r>
            <w:r>
              <w:rPr>
                <w:highlight w:val="none"/>
                <w:lang w:eastAsia="zh-CN"/>
              </w:rPr>
              <w:t>）生活垃圾</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公司内合理设置可分类的垃圾桶，产生的生活垃圾收集后委托环卫部门处理。</w:t>
            </w:r>
            <w:r>
              <w:rPr>
                <w:rFonts w:hint="eastAsia"/>
                <w:highlight w:val="none"/>
                <w:lang w:eastAsia="zh-CN"/>
              </w:rPr>
              <w:t>项目餐饮垃圾和废油脂由资源单位收集处置。</w:t>
            </w:r>
            <w:r>
              <w:rPr>
                <w:highlight w:val="none"/>
                <w:lang w:eastAsia="zh-CN"/>
              </w:rPr>
              <w:t>项目生活垃圾日产日清。</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w:t>
            </w:r>
            <w:r>
              <w:rPr>
                <w:rFonts w:hint="eastAsia"/>
                <w:highlight w:val="none"/>
                <w:lang w:eastAsia="zh-CN"/>
              </w:rPr>
              <w:t>2</w:t>
            </w:r>
            <w:r>
              <w:rPr>
                <w:highlight w:val="none"/>
                <w:lang w:eastAsia="zh-CN"/>
              </w:rPr>
              <w:t>）一般工业固废</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项目不合格品、废包装</w:t>
            </w:r>
            <w:r>
              <w:rPr>
                <w:rFonts w:hint="eastAsia"/>
                <w:highlight w:val="none"/>
                <w:lang w:eastAsia="zh-CN"/>
              </w:rPr>
              <w:t>材料</w:t>
            </w:r>
            <w:r>
              <w:rPr>
                <w:highlight w:val="none"/>
                <w:lang w:eastAsia="zh-CN"/>
              </w:rPr>
              <w:t>外售给物资单位</w:t>
            </w:r>
            <w:r>
              <w:rPr>
                <w:rFonts w:hint="eastAsia"/>
                <w:highlight w:val="none"/>
                <w:lang w:eastAsia="zh-CN"/>
              </w:rPr>
              <w:t>，本项目一般固废周转周期为一个季度，最大储存量为3.875t。</w:t>
            </w:r>
            <w:r>
              <w:rPr>
                <w:highlight w:val="none"/>
                <w:lang w:eastAsia="zh-CN"/>
              </w:rPr>
              <w:t>厂区已设有</w:t>
            </w:r>
            <w:r>
              <w:rPr>
                <w:rFonts w:hint="eastAsia"/>
                <w:highlight w:val="none"/>
                <w:lang w:eastAsia="zh-CN"/>
              </w:rPr>
              <w:t>1</w:t>
            </w:r>
            <w:r>
              <w:rPr>
                <w:highlight w:val="none"/>
                <w:lang w:eastAsia="zh-CN"/>
              </w:rPr>
              <w:t>间100m</w:t>
            </w:r>
            <w:r>
              <w:rPr>
                <w:highlight w:val="none"/>
                <w:vertAlign w:val="superscript"/>
                <w:lang w:eastAsia="zh-CN"/>
              </w:rPr>
              <w:t>2</w:t>
            </w:r>
            <w:r>
              <w:rPr>
                <w:highlight w:val="none"/>
                <w:lang w:eastAsia="zh-CN"/>
              </w:rPr>
              <w:t>一般固废暂存间，位于联合厂房外西北角，用于一般固废分类贮存</w:t>
            </w:r>
            <w:r>
              <w:rPr>
                <w:rFonts w:hint="eastAsia"/>
                <w:highlight w:val="none"/>
                <w:lang w:eastAsia="zh-CN"/>
              </w:rPr>
              <w:t>，</w:t>
            </w:r>
            <w:r>
              <w:rPr>
                <w:highlight w:val="none"/>
                <w:lang w:eastAsia="zh-CN"/>
              </w:rPr>
              <w:t>储存能力为100t，现有最大贮存量</w:t>
            </w:r>
            <w:r>
              <w:rPr>
                <w:rFonts w:hint="eastAsia"/>
                <w:highlight w:val="none"/>
                <w:lang w:eastAsia="zh-CN"/>
              </w:rPr>
              <w:t>55.68</w:t>
            </w:r>
            <w:r>
              <w:rPr>
                <w:highlight w:val="none"/>
                <w:lang w:eastAsia="zh-CN"/>
              </w:rPr>
              <w:t>t，</w:t>
            </w:r>
            <w:r>
              <w:rPr>
                <w:rFonts w:hint="eastAsia"/>
                <w:highlight w:val="none"/>
                <w:lang w:eastAsia="zh-CN"/>
              </w:rPr>
              <w:t>剩余贮存能力44.32t，可满足本项目一般固废暂存要求。</w:t>
            </w:r>
            <w:r>
              <w:rPr>
                <w:highlight w:val="none"/>
                <w:lang w:eastAsia="zh-CN"/>
              </w:rPr>
              <w:t>一般工业固废暂存场地位于室内，可做到“防扬散、防流失、防渗漏”，符合《一般工业固体废物贮存和填埋污染控制标准》 （GB18599-2020）的要求。</w:t>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highlight w:val="none"/>
                <w:lang w:eastAsia="zh-CN"/>
              </w:rPr>
              <w:t>表4-1</w:t>
            </w:r>
            <w:r>
              <w:rPr>
                <w:rFonts w:hint="eastAsia"/>
                <w:highlight w:val="none"/>
                <w:lang w:eastAsia="zh-CN"/>
              </w:rPr>
              <w:t xml:space="preserve">2 </w:t>
            </w:r>
            <w:r>
              <w:rPr>
                <w:highlight w:val="none"/>
                <w:lang w:eastAsia="zh-CN"/>
              </w:rPr>
              <w:t xml:space="preserve"> 项目一般固废贮存场所（设施）基本情况表</w:t>
            </w:r>
          </w:p>
          <w:tbl>
            <w:tblPr>
              <w:tblStyle w:val="21"/>
              <w:tblW w:w="8018" w:type="dxa"/>
              <w:tblInd w:w="1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73"/>
              <w:gridCol w:w="866"/>
              <w:gridCol w:w="1145"/>
              <w:gridCol w:w="1103"/>
              <w:gridCol w:w="626"/>
              <w:gridCol w:w="553"/>
              <w:gridCol w:w="541"/>
              <w:gridCol w:w="677"/>
              <w:gridCol w:w="714"/>
              <w:gridCol w:w="712"/>
              <w:gridCol w:w="70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5" w:hRule="atLeast"/>
              </w:trPr>
              <w:tc>
                <w:tcPr>
                  <w:tcW w:w="37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序号</w:t>
                  </w:r>
                </w:p>
              </w:tc>
              <w:tc>
                <w:tcPr>
                  <w:tcW w:w="86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贮存场所（设施）</w:t>
                  </w:r>
                </w:p>
              </w:tc>
              <w:tc>
                <w:tcPr>
                  <w:tcW w:w="114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固体废物名称</w:t>
                  </w:r>
                </w:p>
              </w:tc>
              <w:tc>
                <w:tcPr>
                  <w:tcW w:w="11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废物代码</w:t>
                  </w:r>
                </w:p>
              </w:tc>
              <w:tc>
                <w:tcPr>
                  <w:tcW w:w="62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位置</w:t>
                  </w:r>
                </w:p>
              </w:tc>
              <w:tc>
                <w:tcPr>
                  <w:tcW w:w="55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占地面积</w:t>
                  </w:r>
                </w:p>
              </w:tc>
              <w:tc>
                <w:tcPr>
                  <w:tcW w:w="5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贮存方式</w:t>
                  </w:r>
                </w:p>
              </w:tc>
              <w:tc>
                <w:tcPr>
                  <w:tcW w:w="677"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贮存能力</w:t>
                  </w:r>
                </w:p>
              </w:tc>
              <w:tc>
                <w:tcPr>
                  <w:tcW w:w="71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现有最</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大贮存量</w:t>
                  </w:r>
                </w:p>
              </w:tc>
              <w:tc>
                <w:tcPr>
                  <w:tcW w:w="71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剩余贮存能力</w:t>
                  </w:r>
                </w:p>
              </w:tc>
              <w:tc>
                <w:tcPr>
                  <w:tcW w:w="70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贮存周期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373"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w:t>
                  </w:r>
                </w:p>
              </w:tc>
              <w:tc>
                <w:tcPr>
                  <w:tcW w:w="866"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一般固废暂存间</w:t>
                  </w:r>
                </w:p>
              </w:tc>
              <w:tc>
                <w:tcPr>
                  <w:tcW w:w="114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不合格品</w:t>
                  </w:r>
                </w:p>
              </w:tc>
              <w:tc>
                <w:tcPr>
                  <w:tcW w:w="11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900-001-S17</w:t>
                  </w:r>
                </w:p>
              </w:tc>
              <w:tc>
                <w:tcPr>
                  <w:tcW w:w="626"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联合厂房外西北角</w:t>
                  </w:r>
                </w:p>
              </w:tc>
              <w:tc>
                <w:tcPr>
                  <w:tcW w:w="553"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100m</w:t>
                  </w:r>
                  <w:r>
                    <w:rPr>
                      <w:highlight w:val="none"/>
                      <w:vertAlign w:val="superscript"/>
                    </w:rPr>
                    <w:t>2</w:t>
                  </w:r>
                </w:p>
              </w:tc>
              <w:tc>
                <w:tcPr>
                  <w:tcW w:w="5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袋装</w:t>
                  </w:r>
                </w:p>
              </w:tc>
              <w:tc>
                <w:tcPr>
                  <w:tcW w:w="677"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100t</w:t>
                  </w:r>
                </w:p>
              </w:tc>
              <w:tc>
                <w:tcPr>
                  <w:tcW w:w="714"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55.68</w:t>
                  </w:r>
                  <w:r>
                    <w:rPr>
                      <w:color w:val="000000" w:themeColor="text1"/>
                      <w:highlight w:val="none"/>
                      <w14:textFill>
                        <w14:solidFill>
                          <w14:schemeClr w14:val="tx1"/>
                        </w14:solidFill>
                      </w14:textFill>
                    </w:rPr>
                    <w:t>t</w:t>
                  </w:r>
                </w:p>
              </w:tc>
              <w:tc>
                <w:tcPr>
                  <w:tcW w:w="712" w:type="dxa"/>
                  <w:vMerge w:val="restart"/>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44.32t</w:t>
                  </w:r>
                </w:p>
              </w:tc>
              <w:tc>
                <w:tcPr>
                  <w:tcW w:w="708"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一个</w:t>
                  </w:r>
                  <w:r>
                    <w:rPr>
                      <w:rFonts w:hint="eastAsia"/>
                      <w:highlight w:val="none"/>
                    </w:rPr>
                    <w:t>季度</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373"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866"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1145"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废包装</w:t>
                  </w:r>
                  <w:r>
                    <w:rPr>
                      <w:rFonts w:hint="eastAsia"/>
                      <w:highlight w:val="none"/>
                    </w:rPr>
                    <w:t>材料</w:t>
                  </w:r>
                </w:p>
              </w:tc>
              <w:tc>
                <w:tcPr>
                  <w:tcW w:w="1103"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900-005</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-S17</w:t>
                  </w:r>
                </w:p>
              </w:tc>
              <w:tc>
                <w:tcPr>
                  <w:tcW w:w="626"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553"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54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袋装</w:t>
                  </w:r>
                </w:p>
              </w:tc>
              <w:tc>
                <w:tcPr>
                  <w:tcW w:w="677"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14"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12" w:type="dxa"/>
                  <w:vMerge w:val="continue"/>
                  <w:tcBorders>
                    <w:top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0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bl>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w:t>
            </w:r>
            <w:r>
              <w:rPr>
                <w:rFonts w:hint="eastAsia"/>
                <w:highlight w:val="none"/>
                <w:lang w:eastAsia="zh-CN"/>
              </w:rPr>
              <w:t>3</w:t>
            </w:r>
            <w:r>
              <w:rPr>
                <w:highlight w:val="none"/>
                <w:lang w:eastAsia="zh-CN"/>
              </w:rPr>
              <w:t>）危险固废</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1）</w:t>
            </w:r>
            <w:r>
              <w:rPr>
                <w:highlight w:val="none"/>
                <w:lang w:eastAsia="zh-CN"/>
              </w:rPr>
              <w:t>危险废物分类收集</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根据《中华人民共和国固体废物污染环境防治法》、《危险废物贮存污染控制标准》（GB 18597-2023）、《危险废物收集 贮存 运输技术规范》（HJ 2025-2012）要求，项目危险固体废物分类收集和处理，危险废物按照其组分及特性进行分类收集、设立台账并安全处理处置。</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2）</w:t>
            </w:r>
            <w:r>
              <w:rPr>
                <w:highlight w:val="none"/>
                <w:lang w:eastAsia="zh-CN"/>
              </w:rPr>
              <w:t>危险废物贮存场所能力可行性</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危废暂存间位于联合厂房外西侧，建筑面积为100m</w:t>
            </w:r>
            <w:r>
              <w:rPr>
                <w:highlight w:val="none"/>
                <w:vertAlign w:val="superscript"/>
                <w:lang w:eastAsia="zh-CN"/>
              </w:rPr>
              <w:t>2</w:t>
            </w:r>
            <w:r>
              <w:rPr>
                <w:highlight w:val="none"/>
                <w:lang w:eastAsia="zh-CN"/>
              </w:rPr>
              <w:t>的危废间，最大贮存能力为50t，</w:t>
            </w:r>
            <w:r>
              <w:rPr>
                <w:color w:val="000000" w:themeColor="text1"/>
                <w:highlight w:val="none"/>
                <w:lang w:eastAsia="zh-CN"/>
                <w14:textFill>
                  <w14:solidFill>
                    <w14:schemeClr w14:val="tx1"/>
                  </w14:solidFill>
                </w14:textFill>
              </w:rPr>
              <w:t>现有最大贮存量为</w:t>
            </w:r>
            <w:r>
              <w:rPr>
                <w:rFonts w:hint="eastAsia"/>
                <w:color w:val="000000" w:themeColor="text1"/>
                <w:highlight w:val="none"/>
                <w:lang w:eastAsia="zh-CN"/>
                <w14:textFill>
                  <w14:solidFill>
                    <w14:schemeClr w14:val="tx1"/>
                  </w14:solidFill>
                </w14:textFill>
              </w:rPr>
              <w:t>3</w:t>
            </w:r>
            <w:r>
              <w:rPr>
                <w:rFonts w:hint="eastAsia"/>
                <w:color w:val="000000" w:themeColor="text1"/>
                <w:highlight w:val="none"/>
                <w:lang w:val="en-US" w:eastAsia="zh-CN"/>
                <w14:textFill>
                  <w14:solidFill>
                    <w14:schemeClr w14:val="tx1"/>
                  </w14:solidFill>
                </w14:textFill>
              </w:rPr>
              <w:t>9.2738</w:t>
            </w:r>
            <w:r>
              <w:rPr>
                <w:color w:val="000000" w:themeColor="text1"/>
                <w:highlight w:val="none"/>
                <w:lang w:eastAsia="zh-CN"/>
                <w14:textFill>
                  <w14:solidFill>
                    <w14:schemeClr w14:val="tx1"/>
                  </w14:solidFill>
                </w14:textFill>
              </w:rPr>
              <w:t>t，剩余暂存量为</w:t>
            </w:r>
            <w:r>
              <w:rPr>
                <w:rFonts w:hint="eastAsia"/>
                <w:color w:val="000000" w:themeColor="text1"/>
                <w:highlight w:val="none"/>
                <w:lang w:eastAsia="zh-CN"/>
                <w14:textFill>
                  <w14:solidFill>
                    <w14:schemeClr w14:val="tx1"/>
                  </w14:solidFill>
                </w14:textFill>
              </w:rPr>
              <w:t>12.0628</w:t>
            </w:r>
            <w:r>
              <w:rPr>
                <w:color w:val="000000" w:themeColor="text1"/>
                <w:highlight w:val="none"/>
                <w:lang w:eastAsia="zh-CN"/>
                <w14:textFill>
                  <w14:solidFill>
                    <w14:schemeClr w14:val="tx1"/>
                  </w14:solidFill>
                </w14:textFill>
              </w:rPr>
              <w:t>t</w:t>
            </w:r>
            <w:r>
              <w:rPr>
                <w:rFonts w:hint="eastAsia"/>
                <w:color w:val="000000" w:themeColor="text1"/>
                <w:highlight w:val="none"/>
                <w:lang w:eastAsia="zh-CN"/>
                <w14:textFill>
                  <w14:solidFill>
                    <w14:schemeClr w14:val="tx1"/>
                  </w14:solidFill>
                </w14:textFill>
              </w:rPr>
              <w:t>，</w:t>
            </w:r>
            <w:r>
              <w:rPr>
                <w:highlight w:val="none"/>
                <w:lang w:eastAsia="zh-CN"/>
              </w:rPr>
              <w:t>设置收集槽（体积3.5m</w:t>
            </w:r>
            <w:r>
              <w:rPr>
                <w:highlight w:val="none"/>
                <w:vertAlign w:val="superscript"/>
                <w:lang w:eastAsia="zh-CN"/>
              </w:rPr>
              <w:t>3</w:t>
            </w:r>
            <w:r>
              <w:rPr>
                <w:highlight w:val="none"/>
                <w:lang w:eastAsia="zh-CN"/>
              </w:rPr>
              <w:t>）和集液池（体积2m</w:t>
            </w:r>
            <w:r>
              <w:rPr>
                <w:highlight w:val="none"/>
                <w:vertAlign w:val="superscript"/>
                <w:lang w:eastAsia="zh-CN"/>
              </w:rPr>
              <w:t>3</w:t>
            </w:r>
            <w:r>
              <w:rPr>
                <w:highlight w:val="none"/>
                <w:lang w:eastAsia="zh-CN"/>
              </w:rPr>
              <w:t>），内部配备了防渗托盘。</w:t>
            </w:r>
            <w:r>
              <w:rPr>
                <w:rFonts w:hint="eastAsia"/>
                <w:highlight w:val="none"/>
                <w:lang w:eastAsia="zh-CN"/>
              </w:rPr>
              <w:t>本项目</w:t>
            </w:r>
            <w:r>
              <w:rPr>
                <w:highlight w:val="none"/>
                <w:lang w:eastAsia="zh-CN"/>
              </w:rPr>
              <w:t>危险废物</w:t>
            </w:r>
            <w:r>
              <w:rPr>
                <w:rFonts w:hint="eastAsia"/>
                <w:highlight w:val="none"/>
                <w:lang w:eastAsia="zh-CN"/>
              </w:rPr>
              <w:t>产生量为0.</w:t>
            </w:r>
            <w:r>
              <w:rPr>
                <w:rFonts w:hint="eastAsia"/>
                <w:highlight w:val="none"/>
                <w:lang w:val="en-US" w:eastAsia="zh-CN"/>
              </w:rPr>
              <w:t>15</w:t>
            </w:r>
            <w:r>
              <w:rPr>
                <w:rFonts w:hint="eastAsia"/>
                <w:highlight w:val="none"/>
                <w:lang w:eastAsia="zh-CN"/>
              </w:rPr>
              <w:t>98t/a，</w:t>
            </w:r>
            <w:r>
              <w:rPr>
                <w:highlight w:val="none"/>
                <w:lang w:eastAsia="zh-CN"/>
              </w:rPr>
              <w:t>贮存周期</w:t>
            </w:r>
            <w:r>
              <w:rPr>
                <w:rFonts w:hint="eastAsia"/>
                <w:highlight w:val="none"/>
                <w:lang w:eastAsia="zh-CN"/>
              </w:rPr>
              <w:t>为一年，可满足本项目</w:t>
            </w:r>
            <w:r>
              <w:rPr>
                <w:highlight w:val="none"/>
                <w:lang w:eastAsia="zh-CN"/>
              </w:rPr>
              <w:t>危险废物</w:t>
            </w:r>
            <w:r>
              <w:rPr>
                <w:rFonts w:hint="eastAsia"/>
                <w:highlight w:val="none"/>
                <w:lang w:eastAsia="zh-CN"/>
              </w:rPr>
              <w:t>暂存要求。</w:t>
            </w:r>
            <w:r>
              <w:rPr>
                <w:highlight w:val="none"/>
                <w:lang w:eastAsia="zh-CN"/>
              </w:rPr>
              <w:t>危废暂存间设置工程通过合理安排危险废物转移周期情况下，危废间贮存能力均可满足本项目危险废物的贮存需求。</w:t>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rFonts w:hint="eastAsia"/>
                <w:highlight w:val="none"/>
                <w:lang w:eastAsia="zh-CN"/>
              </w:rPr>
              <w:t>表</w:t>
            </w:r>
            <w:r>
              <w:rPr>
                <w:highlight w:val="none"/>
                <w:lang w:eastAsia="zh-CN"/>
              </w:rPr>
              <w:t>4-</w:t>
            </w:r>
            <w:r>
              <w:rPr>
                <w:rFonts w:hint="eastAsia"/>
                <w:highlight w:val="none"/>
                <w:lang w:eastAsia="zh-CN"/>
              </w:rPr>
              <w:t xml:space="preserve">13 </w:t>
            </w:r>
            <w:r>
              <w:rPr>
                <w:highlight w:val="none"/>
                <w:lang w:eastAsia="zh-CN"/>
              </w:rPr>
              <w:t xml:space="preserve"> 建设项目危险废物贮存场所（设施）基本情况表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8"/>
              <w:gridCol w:w="778"/>
              <w:gridCol w:w="778"/>
              <w:gridCol w:w="778"/>
              <w:gridCol w:w="778"/>
              <w:gridCol w:w="778"/>
              <w:gridCol w:w="778"/>
              <w:gridCol w:w="778"/>
              <w:gridCol w:w="778"/>
              <w:gridCol w:w="7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序号</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危废名称</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危废类别</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废物代码</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位置</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占地面积</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color w:val="000000" w:themeColor="text1"/>
                      <w:highlight w:val="none"/>
                      <w14:textFill>
                        <w14:solidFill>
                          <w14:schemeClr w14:val="tx1"/>
                        </w14:solidFill>
                      </w14:textFill>
                    </w:rPr>
                    <w:t>产生量t/a</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贮存周期</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贮存方式</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贮存能力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1</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lang w:eastAsia="zh-CN"/>
                    </w:rPr>
                    <w:t>废</w:t>
                  </w:r>
                  <w:r>
                    <w:rPr>
                      <w:highlight w:val="none"/>
                    </w:rPr>
                    <w:t>润滑油</w:t>
                  </w:r>
                  <w:r>
                    <w:rPr>
                      <w:rFonts w:hint="eastAsia"/>
                      <w:highlight w:val="none"/>
                      <w:lang w:eastAsia="zh-CN"/>
                    </w:rPr>
                    <w:t>、</w:t>
                  </w:r>
                  <w:r>
                    <w:rPr>
                      <w:highlight w:val="none"/>
                      <w:lang w:eastAsia="zh-CN"/>
                    </w:rPr>
                    <w:t>废</w:t>
                  </w:r>
                  <w:r>
                    <w:rPr>
                      <w:highlight w:val="none"/>
                    </w:rPr>
                    <w:t>润滑油桶及润滑</w:t>
                  </w:r>
                  <w:r>
                    <w:rPr>
                      <w:rFonts w:hint="eastAsia"/>
                      <w:highlight w:val="none"/>
                      <w:lang w:val="en-US" w:eastAsia="zh-CN"/>
                    </w:rPr>
                    <w:t>脂</w:t>
                  </w:r>
                  <w:r>
                    <w:rPr>
                      <w:highlight w:val="none"/>
                    </w:rPr>
                    <w:t>桶</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HW08</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900-214-08</w:t>
                  </w:r>
                </w:p>
              </w:tc>
              <w:tc>
                <w:tcPr>
                  <w:tcW w:w="778"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危废</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暂存</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间</w:t>
                  </w:r>
                </w:p>
              </w:tc>
              <w:tc>
                <w:tcPr>
                  <w:tcW w:w="778"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100m</w:t>
                  </w:r>
                  <w:r>
                    <w:rPr>
                      <w:highlight w:val="none"/>
                      <w:vertAlign w:val="superscript"/>
                    </w:rPr>
                    <w:t>2</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0.0598</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一年</w:t>
                  </w:r>
                </w:p>
              </w:tc>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桶装</w:t>
                  </w:r>
                </w:p>
              </w:tc>
              <w:tc>
                <w:tcPr>
                  <w:tcW w:w="778" w:type="dxa"/>
                  <w:vMerge w:val="restart"/>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50t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8" w:type="dxa"/>
                  <w:vAlign w:val="center"/>
                </w:tcPr>
                <w:p>
                  <w:pPr>
                    <w:pStyle w:val="17"/>
                    <w:keepNext w:val="0"/>
                    <w:keepLines w:val="0"/>
                    <w:pageBreakBefore w:val="0"/>
                    <w:kinsoku/>
                    <w:wordWrap/>
                    <w:overflowPunct w:val="0"/>
                    <w:topLinePunct w:val="0"/>
                    <w:autoSpaceDE w:val="0"/>
                    <w:autoSpaceDN w:val="0"/>
                    <w:bidi w:val="0"/>
                    <w:adjustRightInd w:val="0"/>
                    <w:snapToGrid w:val="0"/>
                    <w:rPr>
                      <w:rFonts w:hint="eastAsia" w:eastAsia="宋体"/>
                      <w:highlight w:val="none"/>
                      <w:lang w:val="en-US" w:eastAsia="zh-CN"/>
                    </w:rPr>
                  </w:pPr>
                  <w:r>
                    <w:rPr>
                      <w:rFonts w:hint="eastAsia"/>
                      <w:highlight w:val="none"/>
                      <w:lang w:val="en-US" w:eastAsia="zh-CN"/>
                    </w:rPr>
                    <w:t>2</w:t>
                  </w:r>
                </w:p>
              </w:tc>
              <w:tc>
                <w:tcPr>
                  <w:tcW w:w="778" w:type="dxa"/>
                  <w:vAlign w:val="top"/>
                </w:tcPr>
                <w:p>
                  <w:pPr>
                    <w:pStyle w:val="17"/>
                    <w:bidi w:val="0"/>
                    <w:rPr>
                      <w:lang w:eastAsia="zh-CN"/>
                    </w:rPr>
                  </w:pPr>
                  <w:r>
                    <w:t>废抹布和手套</w:t>
                  </w:r>
                </w:p>
              </w:tc>
              <w:tc>
                <w:tcPr>
                  <w:tcW w:w="778" w:type="dxa"/>
                  <w:vAlign w:val="top"/>
                </w:tcPr>
                <w:p>
                  <w:pPr>
                    <w:pStyle w:val="17"/>
                    <w:bidi w:val="0"/>
                  </w:pPr>
                  <w:r>
                    <w:t>HW49</w:t>
                  </w:r>
                </w:p>
              </w:tc>
              <w:tc>
                <w:tcPr>
                  <w:tcW w:w="778" w:type="dxa"/>
                  <w:vAlign w:val="top"/>
                </w:tcPr>
                <w:p>
                  <w:pPr>
                    <w:pStyle w:val="17"/>
                    <w:bidi w:val="0"/>
                  </w:pPr>
                  <w:r>
                    <w:t>900-041-49</w:t>
                  </w:r>
                </w:p>
              </w:tc>
              <w:tc>
                <w:tcPr>
                  <w:tcW w:w="7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c>
                <w:tcPr>
                  <w:tcW w:w="778" w:type="dxa"/>
                  <w:vAlign w:val="center"/>
                </w:tcPr>
                <w:p>
                  <w:pPr>
                    <w:pStyle w:val="17"/>
                    <w:bidi w:val="0"/>
                    <w:rPr>
                      <w:rFonts w:hint="eastAsia"/>
                      <w:lang w:eastAsia="zh-CN"/>
                    </w:rPr>
                  </w:pPr>
                  <w:r>
                    <w:t>0.</w:t>
                  </w:r>
                  <w:r>
                    <w:rPr>
                      <w:rFonts w:hint="eastAsia"/>
                      <w:lang w:val="en-US" w:eastAsia="zh-CN"/>
                    </w:rPr>
                    <w:t>1</w:t>
                  </w:r>
                </w:p>
              </w:tc>
              <w:tc>
                <w:tcPr>
                  <w:tcW w:w="778" w:type="dxa"/>
                  <w:vAlign w:val="center"/>
                </w:tcPr>
                <w:p>
                  <w:pPr>
                    <w:pStyle w:val="17"/>
                    <w:bidi w:val="0"/>
                  </w:pPr>
                  <w:r>
                    <w:t>一年</w:t>
                  </w:r>
                </w:p>
              </w:tc>
              <w:tc>
                <w:tcPr>
                  <w:tcW w:w="778" w:type="dxa"/>
                  <w:vAlign w:val="center"/>
                </w:tcPr>
                <w:p>
                  <w:pPr>
                    <w:pStyle w:val="17"/>
                    <w:bidi w:val="0"/>
                  </w:pPr>
                  <w:r>
                    <w:t>袋装</w:t>
                  </w:r>
                </w:p>
              </w:tc>
              <w:tc>
                <w:tcPr>
                  <w:tcW w:w="778" w:type="dxa"/>
                  <w:vMerge w:val="continue"/>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p>
              </w:tc>
            </w:tr>
          </w:tbl>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3）</w:t>
            </w:r>
            <w:r>
              <w:rPr>
                <w:highlight w:val="none"/>
                <w:lang w:eastAsia="zh-CN"/>
              </w:rPr>
              <w:t>危险废物环境管理要求</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①危险废物分类收集</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根据《中华人民共和国固体废物污染环境防治法》要求，项目固体废物分类收集和处理，危险废物按照其组分及特性进行分类收集、设立台账并安全处理处置。</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②危险废物贮存场所污染防治措施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本项目危废依托已有危废间储存</w:t>
            </w:r>
            <w:r>
              <w:rPr>
                <w:highlight w:val="none"/>
                <w:lang w:eastAsia="zh-CN"/>
              </w:rPr>
              <w:t>，</w:t>
            </w:r>
            <w:r>
              <w:rPr>
                <w:rFonts w:hint="eastAsia"/>
                <w:highlight w:val="none"/>
                <w:lang w:eastAsia="zh-CN"/>
              </w:rPr>
              <w:t>危废间已</w:t>
            </w:r>
            <w:r>
              <w:rPr>
                <w:highlight w:val="none"/>
                <w:lang w:eastAsia="zh-CN"/>
              </w:rPr>
              <w:t>遵照《危险废物贮存污染控制标准》（GB 18597-202</w:t>
            </w:r>
            <w:r>
              <w:rPr>
                <w:rFonts w:hint="eastAsia"/>
                <w:highlight w:val="none"/>
                <w:lang w:val="en-US" w:eastAsia="zh-CN"/>
              </w:rPr>
              <w:t>3</w:t>
            </w:r>
            <w:r>
              <w:rPr>
                <w:highlight w:val="none"/>
                <w:lang w:eastAsia="zh-CN"/>
              </w:rPr>
              <w:t>）设置，并分类存放、贮存，防雨、防渗、防漏、防扬散、防流失及其他防止污染环境。危废暂存间地面已做好</w:t>
            </w:r>
            <w:r>
              <w:rPr>
                <w:rFonts w:hint="eastAsia"/>
                <w:highlight w:val="none"/>
                <w:lang w:eastAsia="zh-CN"/>
              </w:rPr>
              <w:t>重点</w:t>
            </w:r>
            <w:r>
              <w:rPr>
                <w:highlight w:val="none"/>
                <w:lang w:eastAsia="zh-CN"/>
              </w:rPr>
              <w:t>防渗，设置导流沟和收集池</w:t>
            </w:r>
            <w:r>
              <w:rPr>
                <w:rFonts w:hint="eastAsia"/>
                <w:highlight w:val="none"/>
                <w:lang w:eastAsia="zh-CN"/>
              </w:rPr>
              <w:t>等</w:t>
            </w:r>
            <w:r>
              <w:rPr>
                <w:highlight w:val="none"/>
                <w:lang w:eastAsia="zh-CN"/>
              </w:rPr>
              <w:t>。</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③危险废物处置过程环境风险控制</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建设单位应当以控制危险废物的环境风险为目标，制定危险废物管理计划。将危险废物的产生、处置等情况纳入记录（注明危险废物的名称、来源、数量、特性和包装容器的类别、入库日期、存放位置、废物出库日期及接收单位名称；记录每次运送流程和处置去向）。严格执行危险废物转移联单制度，运输符合地方危险废物运输污染防治技术规定，禁止将危险废物提供或委托给无危险废物经营许可证的单位。</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五、土壤及地下水环境影响分析</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1、污染源、污染物类型及污染途径</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本项目危废暂存间、危险化学品试剂间可能造成地下水和土壤污染场所，采取防渗措施后，可切断造成地下水和土壤污染途径</w:t>
            </w:r>
            <w:r>
              <w:rPr>
                <w:rFonts w:hint="eastAsia"/>
                <w:highlight w:val="none"/>
                <w:lang w:eastAsia="zh-CN"/>
              </w:rPr>
              <w:t>。本项目危废依托已有危废间储存，</w:t>
            </w:r>
            <w:r>
              <w:rPr>
                <w:highlight w:val="none"/>
                <w:lang w:eastAsia="zh-CN"/>
              </w:rPr>
              <w:t>危险化学品</w:t>
            </w:r>
            <w:r>
              <w:rPr>
                <w:rFonts w:hint="eastAsia"/>
                <w:highlight w:val="none"/>
                <w:lang w:eastAsia="zh-CN"/>
              </w:rPr>
              <w:t>依托已建化学品库，已采用重点防渗措施，</w:t>
            </w:r>
            <w:r>
              <w:rPr>
                <w:highlight w:val="none"/>
                <w:lang w:eastAsia="zh-CN"/>
              </w:rPr>
              <w:t>设置导流沟和收集池</w:t>
            </w:r>
            <w:r>
              <w:rPr>
                <w:rFonts w:hint="eastAsia"/>
                <w:highlight w:val="none"/>
                <w:lang w:eastAsia="zh-CN"/>
              </w:rPr>
              <w:t>等。</w:t>
            </w:r>
            <w:r>
              <w:rPr>
                <w:highlight w:val="none"/>
                <w:lang w:eastAsia="zh-CN"/>
              </w:rPr>
              <w:t>在项目运营期加强对物料贮存、转运过程的管理后，本项目不会对土壤、地下水造成污染。</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2、防控措施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①源头控制</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本项目危废暂存间的危险废物均应根据物料性质选择相容材质的容器存放；建立巡察制度，定期对危废暂存间进行检查，确保设施设备状况良好。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②分区防渗</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根据地下水污染防治措施和对策，坚持“源头控制、分区防治、污染监控、应急响应，重点突出饮用水水质安全”的原则，本项目应根据国家现行相关规范加强环境管理，采取防止和降低污染物跑、冒、滴、漏等措施，同时加强对</w:t>
            </w:r>
            <w:r>
              <w:rPr>
                <w:rFonts w:hint="eastAsia"/>
                <w:highlight w:val="none"/>
                <w:lang w:eastAsia="zh-CN"/>
              </w:rPr>
              <w:t>已有</w:t>
            </w:r>
            <w:r>
              <w:rPr>
                <w:highlight w:val="none"/>
                <w:lang w:eastAsia="zh-CN"/>
              </w:rPr>
              <w:t>防渗工程的检查，对工艺、管道、设备采取控制措施。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根据厂区各生产功能单元是否可能对地下水造成污染及其风险程度，将厂区划分为重点防渗区、一般防渗区。</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一般防渗区：裸露于地面的生产功能单元，污染地下水环境的物料或污染物泄漏后，可及时发现和处理的区域或部位。</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重点防渗区：位于地下或半地下的生产功能单元，污染地下水环境的物料或污染物泄漏后，不易及时发现和处理的区域或部位。</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本项目全厂区分区划分具体情况见下表。</w:t>
            </w:r>
          </w:p>
          <w:p>
            <w:pPr>
              <w:pStyle w:val="20"/>
              <w:keepNext w:val="0"/>
              <w:keepLines w:val="0"/>
              <w:pageBreakBefore w:val="0"/>
              <w:kinsoku/>
              <w:wordWrap/>
              <w:overflowPunct w:val="0"/>
              <w:topLinePunct w:val="0"/>
              <w:autoSpaceDE w:val="0"/>
              <w:autoSpaceDN w:val="0"/>
              <w:bidi w:val="0"/>
              <w:adjustRightInd w:val="0"/>
              <w:snapToGrid w:val="0"/>
              <w:spacing w:before="176" w:line="224" w:lineRule="auto"/>
              <w:ind w:left="2545"/>
              <w:rPr>
                <w:rFonts w:hint="eastAsia"/>
                <w:sz w:val="20"/>
                <w:szCs w:val="20"/>
                <w:highlight w:val="none"/>
                <w:lang w:eastAsia="zh-CN"/>
              </w:rPr>
            </w:pPr>
            <w:r>
              <w:rPr>
                <w:b/>
                <w:bCs/>
                <w:spacing w:val="5"/>
                <w:sz w:val="20"/>
                <w:szCs w:val="20"/>
                <w:highlight w:val="none"/>
                <w:lang w:eastAsia="zh-CN"/>
              </w:rPr>
              <w:t>表</w:t>
            </w:r>
            <w:r>
              <w:rPr>
                <w:rFonts w:ascii="Times New Roman" w:hAnsi="Times New Roman" w:eastAsia="Times New Roman" w:cs="Times New Roman"/>
                <w:b/>
                <w:bCs/>
                <w:spacing w:val="5"/>
                <w:sz w:val="20"/>
                <w:szCs w:val="20"/>
                <w:highlight w:val="none"/>
                <w:lang w:eastAsia="zh-CN"/>
              </w:rPr>
              <w:t>4-1</w:t>
            </w:r>
            <w:r>
              <w:rPr>
                <w:rFonts w:hint="eastAsia" w:ascii="Times New Roman" w:hAnsi="Times New Roman" w:cs="Times New Roman"/>
                <w:b/>
                <w:bCs/>
                <w:spacing w:val="5"/>
                <w:sz w:val="20"/>
                <w:szCs w:val="20"/>
                <w:highlight w:val="none"/>
                <w:lang w:eastAsia="zh-CN"/>
              </w:rPr>
              <w:t>4</w:t>
            </w:r>
            <w:r>
              <w:rPr>
                <w:rFonts w:ascii="Times New Roman" w:hAnsi="Times New Roman" w:eastAsia="Times New Roman" w:cs="Times New Roman"/>
                <w:b/>
                <w:bCs/>
                <w:spacing w:val="5"/>
                <w:sz w:val="20"/>
                <w:szCs w:val="20"/>
                <w:highlight w:val="none"/>
                <w:lang w:eastAsia="zh-CN"/>
              </w:rPr>
              <w:t xml:space="preserve">  </w:t>
            </w:r>
            <w:r>
              <w:rPr>
                <w:b/>
                <w:bCs/>
                <w:spacing w:val="5"/>
                <w:sz w:val="20"/>
                <w:szCs w:val="20"/>
                <w:highlight w:val="none"/>
                <w:lang w:eastAsia="zh-CN"/>
              </w:rPr>
              <w:t>项目分区防渗措施一览表</w:t>
            </w:r>
          </w:p>
          <w:tbl>
            <w:tblPr>
              <w:tblStyle w:val="21"/>
              <w:tblW w:w="7961" w:type="dxa"/>
              <w:tblInd w:w="10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22"/>
              <w:gridCol w:w="1594"/>
              <w:gridCol w:w="2184"/>
              <w:gridCol w:w="336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 w:hRule="atLeast"/>
              </w:trPr>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序号</w:t>
                  </w:r>
                </w:p>
              </w:tc>
              <w:tc>
                <w:tcPr>
                  <w:tcW w:w="159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防渗分区</w:t>
                  </w:r>
                </w:p>
              </w:tc>
              <w:tc>
                <w:tcPr>
                  <w:tcW w:w="218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具体范围</w:t>
                  </w:r>
                </w:p>
              </w:tc>
              <w:tc>
                <w:tcPr>
                  <w:tcW w:w="336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已采取</w:t>
                  </w:r>
                  <w:r>
                    <w:rPr>
                      <w:highlight w:val="none"/>
                    </w:rPr>
                    <w:t>防渗措施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2" w:hRule="atLeast"/>
              </w:trPr>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1</w:t>
                  </w:r>
                </w:p>
              </w:tc>
              <w:tc>
                <w:tcPr>
                  <w:tcW w:w="1594" w:type="dxa"/>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重点防渗区</w:t>
                  </w:r>
                </w:p>
              </w:tc>
              <w:tc>
                <w:tcPr>
                  <w:tcW w:w="218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依托的</w:t>
                  </w:r>
                  <w:r>
                    <w:rPr>
                      <w:highlight w:val="none"/>
                    </w:rPr>
                    <w:t>化学品</w:t>
                  </w:r>
                  <w:r>
                    <w:rPr>
                      <w:rFonts w:hint="eastAsia"/>
                      <w:highlight w:val="none"/>
                    </w:rPr>
                    <w:t>库、危废间</w:t>
                  </w:r>
                </w:p>
              </w:tc>
              <w:tc>
                <w:tcPr>
                  <w:tcW w:w="3361" w:type="dxa"/>
                  <w:tcBorders>
                    <w:bottom w:val="nil"/>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在地面基础上</w:t>
                  </w:r>
                  <w:r>
                    <w:rPr>
                      <w:rFonts w:hint="eastAsia"/>
                      <w:highlight w:val="none"/>
                    </w:rPr>
                    <w:t>已</w:t>
                  </w:r>
                  <w:r>
                    <w:rPr>
                      <w:highlight w:val="none"/>
                    </w:rPr>
                    <w:t>进行防腐防渗，</w:t>
                  </w:r>
                  <w:r>
                    <w:rPr>
                      <w:rFonts w:hint="eastAsia"/>
                      <w:highlight w:val="none"/>
                    </w:rPr>
                    <w:t>已</w:t>
                  </w:r>
                  <w:r>
                    <w:rPr>
                      <w:highlight w:val="none"/>
                    </w:rPr>
                    <w:t>采取涂刷防腐防渗涂料（渗透系数≤10</w:t>
                  </w:r>
                  <w:r>
                    <w:rPr>
                      <w:highlight w:val="none"/>
                      <w:vertAlign w:val="superscript"/>
                    </w:rPr>
                    <w:t>-10</w:t>
                  </w:r>
                  <w:r>
                    <w:rPr>
                      <w:highlight w:val="none"/>
                    </w:rPr>
                    <w:t>cm/s），并</w:t>
                  </w:r>
                  <w:r>
                    <w:rPr>
                      <w:rFonts w:hint="eastAsia"/>
                      <w:highlight w:val="none"/>
                    </w:rPr>
                    <w:t>已</w:t>
                  </w:r>
                  <w:r>
                    <w:rPr>
                      <w:highlight w:val="none"/>
                    </w:rPr>
                    <w:t>设置专用防腐防渗HDPE拖盘，保证泄漏废液的收集。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4" w:hRule="atLeast"/>
              </w:trPr>
              <w:tc>
                <w:tcPr>
                  <w:tcW w:w="822"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2</w:t>
                  </w:r>
                </w:p>
              </w:tc>
              <w:tc>
                <w:tcPr>
                  <w:tcW w:w="159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一般防渗区</w:t>
                  </w:r>
                </w:p>
              </w:tc>
              <w:tc>
                <w:tcPr>
                  <w:tcW w:w="2184"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生产区的其他地区</w:t>
                  </w:r>
                </w:p>
              </w:tc>
              <w:tc>
                <w:tcPr>
                  <w:tcW w:w="3361"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已</w:t>
                  </w:r>
                  <w:r>
                    <w:rPr>
                      <w:highlight w:val="none"/>
                    </w:rPr>
                    <w:t>采用5cm～10cm压实混凝土进行硬化处理，K≤1× 10</w:t>
                  </w:r>
                  <w:r>
                    <w:rPr>
                      <w:highlight w:val="none"/>
                      <w:vertAlign w:val="superscript"/>
                    </w:rPr>
                    <w:t>-7</w:t>
                  </w:r>
                  <w:r>
                    <w:rPr>
                      <w:highlight w:val="none"/>
                    </w:rPr>
                    <w:t>cm/s</w:t>
                  </w:r>
                </w:p>
              </w:tc>
            </w:tr>
          </w:tbl>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3、跟踪监测要求</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根据上述分析，本项目</w:t>
            </w:r>
            <w:r>
              <w:rPr>
                <w:rFonts w:hint="eastAsia"/>
                <w:highlight w:val="none"/>
                <w:lang w:eastAsia="zh-CN"/>
              </w:rPr>
              <w:t>不涉及</w:t>
            </w:r>
            <w:r>
              <w:rPr>
                <w:highlight w:val="none"/>
                <w:lang w:eastAsia="zh-CN"/>
              </w:rPr>
              <w:t>重点防渗区</w:t>
            </w:r>
            <w:r>
              <w:rPr>
                <w:rFonts w:hint="eastAsia"/>
                <w:highlight w:val="none"/>
                <w:lang w:eastAsia="zh-CN"/>
              </w:rPr>
              <w:t>，</w:t>
            </w:r>
            <w:r>
              <w:rPr>
                <w:highlight w:val="none"/>
                <w:lang w:eastAsia="zh-CN"/>
              </w:rPr>
              <w:t>依托的</w:t>
            </w:r>
            <w:r>
              <w:rPr>
                <w:rFonts w:hint="eastAsia"/>
                <w:highlight w:val="none"/>
                <w:lang w:eastAsia="zh-CN"/>
              </w:rPr>
              <w:t>化学品</w:t>
            </w:r>
            <w:r>
              <w:rPr>
                <w:highlight w:val="none"/>
                <w:lang w:eastAsia="zh-CN"/>
              </w:rPr>
              <w:t>库、危废间</w:t>
            </w:r>
            <w:r>
              <w:rPr>
                <w:rFonts w:hint="eastAsia"/>
                <w:highlight w:val="none"/>
                <w:lang w:eastAsia="zh-CN"/>
              </w:rPr>
              <w:t>已</w:t>
            </w:r>
            <w:r>
              <w:rPr>
                <w:highlight w:val="none"/>
                <w:lang w:eastAsia="zh-CN"/>
              </w:rPr>
              <w:t>做好防渗措施，对地下水及土壤不会造成影响，故不进行制定跟踪监测计划。</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六、环境风险分析</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1、项目环境风险状况</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（1）风险调查</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对照《建设项目环境风险评价技术导则》（HJ169-2018）附录B，本项目主要风险物质为润滑油</w:t>
            </w:r>
            <w:r>
              <w:rPr>
                <w:rFonts w:hint="eastAsia"/>
                <w:highlight w:val="none"/>
                <w:lang w:eastAsia="zh-CN"/>
              </w:rPr>
              <w:t>和</w:t>
            </w:r>
            <w:r>
              <w:rPr>
                <w:highlight w:val="none"/>
                <w:lang w:eastAsia="zh-CN"/>
              </w:rPr>
              <w:t>危险废物等。每种物质在厂界内的最大存在总量与其对应的临界量的比值Q，具体计算如下式：</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m:oMathPara>
              <m:oMath>
                <m:r>
                  <m:rPr>
                    <m:sty m:val="p"/>
                  </m:rPr>
                  <w:rPr>
                    <w:rFonts w:ascii="Cambria Math" w:hAnsi="Cambria Math"/>
                    <w:highlight w:val="none"/>
                    <w:lang w:eastAsia="zh-CN"/>
                  </w:rPr>
                  <m:t>Q=</m:t>
                </m:r>
                <m:f>
                  <m:fPr>
                    <m:ctrlPr>
                      <w:rPr>
                        <w:rFonts w:ascii="Cambria Math" w:hAnsi="Cambria Math"/>
                        <w:highlight w:val="none"/>
                        <w:lang w:eastAsia="zh-CN"/>
                      </w:rPr>
                    </m:ctrlPr>
                  </m:fPr>
                  <m:num>
                    <m:sSub>
                      <m:sSubPr>
                        <m:ctrlPr>
                          <w:rPr>
                            <w:rFonts w:ascii="Cambria Math" w:hAnsi="Cambria Math"/>
                            <w:highlight w:val="none"/>
                            <w:lang w:eastAsia="zh-CN"/>
                          </w:rPr>
                        </m:ctrlPr>
                      </m:sSubPr>
                      <m:e>
                        <m:r>
                          <m:rPr>
                            <m:sty m:val="p"/>
                          </m:rPr>
                          <w:rPr>
                            <w:rFonts w:ascii="Cambria Math" w:hAnsi="Cambria Math"/>
                            <w:highlight w:val="none"/>
                            <w:lang w:eastAsia="zh-CN"/>
                          </w:rPr>
                          <m:t>q</m:t>
                        </m:r>
                        <m:ctrlPr>
                          <w:rPr>
                            <w:rFonts w:ascii="Cambria Math" w:hAnsi="Cambria Math"/>
                            <w:highlight w:val="none"/>
                            <w:lang w:eastAsia="zh-CN"/>
                          </w:rPr>
                        </m:ctrlPr>
                      </m:e>
                      <m:sub>
                        <m:r>
                          <m:rPr>
                            <m:sty m:val="p"/>
                          </m:rPr>
                          <w:rPr>
                            <w:rFonts w:ascii="Cambria Math" w:hAnsi="Cambria Math"/>
                            <w:highlight w:val="none"/>
                            <w:lang w:eastAsia="zh-CN"/>
                          </w:rPr>
                          <m:t>1</m:t>
                        </m:r>
                        <m:ctrlPr>
                          <w:rPr>
                            <w:rFonts w:ascii="Cambria Math" w:hAnsi="Cambria Math"/>
                            <w:highlight w:val="none"/>
                            <w:lang w:eastAsia="zh-CN"/>
                          </w:rPr>
                        </m:ctrlPr>
                      </m:sub>
                    </m:sSub>
                    <m:ctrlPr>
                      <w:rPr>
                        <w:rFonts w:ascii="Cambria Math" w:hAnsi="Cambria Math"/>
                        <w:highlight w:val="none"/>
                        <w:lang w:eastAsia="zh-CN"/>
                      </w:rPr>
                    </m:ctrlPr>
                  </m:num>
                  <m:den>
                    <m:sSub>
                      <m:sSubPr>
                        <m:ctrlPr>
                          <w:rPr>
                            <w:rFonts w:ascii="Cambria Math" w:hAnsi="Cambria Math"/>
                            <w:highlight w:val="none"/>
                            <w:lang w:eastAsia="zh-CN"/>
                          </w:rPr>
                        </m:ctrlPr>
                      </m:sSubPr>
                      <m:e>
                        <m:r>
                          <m:rPr>
                            <m:sty m:val="p"/>
                          </m:rPr>
                          <w:rPr>
                            <w:rFonts w:ascii="Cambria Math" w:hAnsi="Cambria Math"/>
                            <w:highlight w:val="none"/>
                            <w:lang w:eastAsia="zh-CN"/>
                          </w:rPr>
                          <m:t>Q</m:t>
                        </m:r>
                        <m:ctrlPr>
                          <w:rPr>
                            <w:rFonts w:ascii="Cambria Math" w:hAnsi="Cambria Math"/>
                            <w:highlight w:val="none"/>
                            <w:lang w:eastAsia="zh-CN"/>
                          </w:rPr>
                        </m:ctrlPr>
                      </m:e>
                      <m:sub>
                        <m:r>
                          <m:rPr>
                            <m:sty m:val="p"/>
                          </m:rPr>
                          <w:rPr>
                            <w:rFonts w:ascii="Cambria Math" w:hAnsi="Cambria Math"/>
                            <w:highlight w:val="none"/>
                            <w:lang w:eastAsia="zh-CN"/>
                          </w:rPr>
                          <m:t>1</m:t>
                        </m:r>
                        <m:ctrlPr>
                          <w:rPr>
                            <w:rFonts w:ascii="Cambria Math" w:hAnsi="Cambria Math"/>
                            <w:highlight w:val="none"/>
                            <w:lang w:eastAsia="zh-CN"/>
                          </w:rPr>
                        </m:ctrlPr>
                      </m:sub>
                    </m:sSub>
                    <m:ctrlPr>
                      <w:rPr>
                        <w:rFonts w:ascii="Cambria Math" w:hAnsi="Cambria Math"/>
                        <w:highlight w:val="none"/>
                        <w:lang w:eastAsia="zh-CN"/>
                      </w:rPr>
                    </m:ctrlPr>
                  </m:den>
                </m:f>
                <m:r>
                  <m:rPr>
                    <m:sty m:val="p"/>
                  </m:rPr>
                  <w:rPr>
                    <w:rFonts w:ascii="Cambria Math" w:hAnsi="Cambria Math"/>
                    <w:highlight w:val="none"/>
                    <w:lang w:eastAsia="zh-CN"/>
                  </w:rPr>
                  <m:t>＋</m:t>
                </m:r>
                <m:f>
                  <m:fPr>
                    <m:ctrlPr>
                      <w:rPr>
                        <w:rFonts w:ascii="Cambria Math" w:hAnsi="Cambria Math"/>
                        <w:highlight w:val="none"/>
                        <w:lang w:eastAsia="zh-CN"/>
                      </w:rPr>
                    </m:ctrlPr>
                  </m:fPr>
                  <m:num>
                    <m:sSub>
                      <m:sSubPr>
                        <m:ctrlPr>
                          <w:rPr>
                            <w:rFonts w:ascii="Cambria Math" w:hAnsi="Cambria Math"/>
                            <w:highlight w:val="none"/>
                            <w:lang w:eastAsia="zh-CN"/>
                          </w:rPr>
                        </m:ctrlPr>
                      </m:sSubPr>
                      <m:e>
                        <m:r>
                          <m:rPr>
                            <m:sty m:val="p"/>
                          </m:rPr>
                          <w:rPr>
                            <w:rFonts w:ascii="Cambria Math" w:hAnsi="Cambria Math"/>
                            <w:highlight w:val="none"/>
                            <w:lang w:eastAsia="zh-CN"/>
                          </w:rPr>
                          <m:t>q</m:t>
                        </m:r>
                        <m:ctrlPr>
                          <w:rPr>
                            <w:rFonts w:ascii="Cambria Math" w:hAnsi="Cambria Math"/>
                            <w:highlight w:val="none"/>
                            <w:lang w:eastAsia="zh-CN"/>
                          </w:rPr>
                        </m:ctrlPr>
                      </m:e>
                      <m:sub>
                        <m:r>
                          <m:rPr>
                            <m:sty m:val="p"/>
                          </m:rPr>
                          <w:rPr>
                            <w:rFonts w:ascii="Cambria Math" w:hAnsi="Cambria Math"/>
                            <w:highlight w:val="none"/>
                            <w:lang w:eastAsia="zh-CN"/>
                          </w:rPr>
                          <m:t>2</m:t>
                        </m:r>
                        <m:ctrlPr>
                          <w:rPr>
                            <w:rFonts w:ascii="Cambria Math" w:hAnsi="Cambria Math"/>
                            <w:highlight w:val="none"/>
                            <w:lang w:eastAsia="zh-CN"/>
                          </w:rPr>
                        </m:ctrlPr>
                      </m:sub>
                    </m:sSub>
                    <m:ctrlPr>
                      <w:rPr>
                        <w:rFonts w:ascii="Cambria Math" w:hAnsi="Cambria Math"/>
                        <w:highlight w:val="none"/>
                        <w:lang w:eastAsia="zh-CN"/>
                      </w:rPr>
                    </m:ctrlPr>
                  </m:num>
                  <m:den>
                    <m:sSub>
                      <m:sSubPr>
                        <m:ctrlPr>
                          <w:rPr>
                            <w:rFonts w:ascii="Cambria Math" w:hAnsi="Cambria Math"/>
                            <w:highlight w:val="none"/>
                            <w:lang w:eastAsia="zh-CN"/>
                          </w:rPr>
                        </m:ctrlPr>
                      </m:sSubPr>
                      <m:e>
                        <m:r>
                          <m:rPr>
                            <m:sty m:val="p"/>
                          </m:rPr>
                          <w:rPr>
                            <w:rFonts w:ascii="Cambria Math" w:hAnsi="Cambria Math"/>
                            <w:highlight w:val="none"/>
                            <w:lang w:eastAsia="zh-CN"/>
                          </w:rPr>
                          <m:t>Q</m:t>
                        </m:r>
                        <m:ctrlPr>
                          <w:rPr>
                            <w:rFonts w:ascii="Cambria Math" w:hAnsi="Cambria Math"/>
                            <w:highlight w:val="none"/>
                            <w:lang w:eastAsia="zh-CN"/>
                          </w:rPr>
                        </m:ctrlPr>
                      </m:e>
                      <m:sub>
                        <m:r>
                          <m:rPr>
                            <m:sty m:val="p"/>
                          </m:rPr>
                          <w:rPr>
                            <w:rFonts w:ascii="Cambria Math" w:hAnsi="Cambria Math"/>
                            <w:highlight w:val="none"/>
                            <w:lang w:eastAsia="zh-CN"/>
                          </w:rPr>
                          <m:t>2</m:t>
                        </m:r>
                        <m:ctrlPr>
                          <w:rPr>
                            <w:rFonts w:ascii="Cambria Math" w:hAnsi="Cambria Math"/>
                            <w:highlight w:val="none"/>
                            <w:lang w:eastAsia="zh-CN"/>
                          </w:rPr>
                        </m:ctrlPr>
                      </m:sub>
                    </m:sSub>
                    <m:ctrlPr>
                      <w:rPr>
                        <w:rFonts w:ascii="Cambria Math" w:hAnsi="Cambria Math"/>
                        <w:highlight w:val="none"/>
                        <w:lang w:eastAsia="zh-CN"/>
                      </w:rPr>
                    </m:ctrlPr>
                  </m:den>
                </m:f>
                <m:r>
                  <m:rPr>
                    <m:sty m:val="p"/>
                  </m:rPr>
                  <w:rPr>
                    <w:rFonts w:ascii="Cambria Math" w:hAnsi="Cambria Math"/>
                    <w:highlight w:val="none"/>
                    <w:lang w:eastAsia="zh-CN"/>
                  </w:rPr>
                  <m:t>＋···＋</m:t>
                </m:r>
                <m:f>
                  <m:fPr>
                    <m:ctrlPr>
                      <w:rPr>
                        <w:rFonts w:ascii="Cambria Math" w:hAnsi="Cambria Math"/>
                        <w:highlight w:val="none"/>
                        <w:lang w:eastAsia="zh-CN"/>
                      </w:rPr>
                    </m:ctrlPr>
                  </m:fPr>
                  <m:num>
                    <m:sSub>
                      <m:sSubPr>
                        <m:ctrlPr>
                          <w:rPr>
                            <w:rFonts w:ascii="Cambria Math" w:hAnsi="Cambria Math"/>
                            <w:highlight w:val="none"/>
                            <w:lang w:eastAsia="zh-CN"/>
                          </w:rPr>
                        </m:ctrlPr>
                      </m:sSubPr>
                      <m:e>
                        <m:r>
                          <m:rPr>
                            <m:sty m:val="p"/>
                          </m:rPr>
                          <w:rPr>
                            <w:rFonts w:ascii="Cambria Math" w:hAnsi="Cambria Math"/>
                            <w:highlight w:val="none"/>
                            <w:lang w:eastAsia="zh-CN"/>
                          </w:rPr>
                          <m:t>q</m:t>
                        </m:r>
                        <m:ctrlPr>
                          <w:rPr>
                            <w:rFonts w:ascii="Cambria Math" w:hAnsi="Cambria Math"/>
                            <w:highlight w:val="none"/>
                            <w:lang w:eastAsia="zh-CN"/>
                          </w:rPr>
                        </m:ctrlPr>
                      </m:e>
                      <m:sub>
                        <m:r>
                          <m:rPr>
                            <m:sty m:val="p"/>
                          </m:rPr>
                          <w:rPr>
                            <w:rFonts w:ascii="Cambria Math" w:hAnsi="Cambria Math"/>
                            <w:highlight w:val="none"/>
                            <w:lang w:eastAsia="zh-CN"/>
                          </w:rPr>
                          <m:t>n</m:t>
                        </m:r>
                        <m:ctrlPr>
                          <w:rPr>
                            <w:rFonts w:ascii="Cambria Math" w:hAnsi="Cambria Math"/>
                            <w:highlight w:val="none"/>
                            <w:lang w:eastAsia="zh-CN"/>
                          </w:rPr>
                        </m:ctrlPr>
                      </m:sub>
                    </m:sSub>
                    <m:ctrlPr>
                      <w:rPr>
                        <w:rFonts w:ascii="Cambria Math" w:hAnsi="Cambria Math"/>
                        <w:highlight w:val="none"/>
                        <w:lang w:eastAsia="zh-CN"/>
                      </w:rPr>
                    </m:ctrlPr>
                  </m:num>
                  <m:den>
                    <m:sSub>
                      <m:sSubPr>
                        <m:ctrlPr>
                          <w:rPr>
                            <w:rFonts w:ascii="Cambria Math" w:hAnsi="Cambria Math"/>
                            <w:highlight w:val="none"/>
                            <w:lang w:eastAsia="zh-CN"/>
                          </w:rPr>
                        </m:ctrlPr>
                      </m:sSubPr>
                      <m:e>
                        <m:r>
                          <m:rPr>
                            <m:sty m:val="p"/>
                          </m:rPr>
                          <w:rPr>
                            <w:rFonts w:ascii="Cambria Math" w:hAnsi="Cambria Math"/>
                            <w:highlight w:val="none"/>
                            <w:lang w:eastAsia="zh-CN"/>
                          </w:rPr>
                          <m:t>Q</m:t>
                        </m:r>
                        <m:ctrlPr>
                          <w:rPr>
                            <w:rFonts w:ascii="Cambria Math" w:hAnsi="Cambria Math"/>
                            <w:highlight w:val="none"/>
                            <w:lang w:eastAsia="zh-CN"/>
                          </w:rPr>
                        </m:ctrlPr>
                      </m:e>
                      <m:sub>
                        <m:r>
                          <m:rPr>
                            <m:sty m:val="p"/>
                          </m:rPr>
                          <w:rPr>
                            <w:rFonts w:ascii="Cambria Math" w:hAnsi="Cambria Math"/>
                            <w:highlight w:val="none"/>
                            <w:lang w:eastAsia="zh-CN"/>
                          </w:rPr>
                          <m:t>n</m:t>
                        </m:r>
                        <m:ctrlPr>
                          <w:rPr>
                            <w:rFonts w:ascii="Cambria Math" w:hAnsi="Cambria Math"/>
                            <w:highlight w:val="none"/>
                            <w:lang w:eastAsia="zh-CN"/>
                          </w:rPr>
                        </m:ctrlPr>
                      </m:sub>
                    </m:sSub>
                    <m:ctrlPr>
                      <w:rPr>
                        <w:rFonts w:ascii="Cambria Math" w:hAnsi="Cambria Math"/>
                        <w:highlight w:val="none"/>
                        <w:lang w:eastAsia="zh-CN"/>
                      </w:rPr>
                    </m:ctrlPr>
                  </m:den>
                </m:f>
              </m:oMath>
            </m:oMathPara>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式中：q</w:t>
            </w:r>
            <w:r>
              <w:rPr>
                <w:highlight w:val="none"/>
                <w:vertAlign w:val="subscript"/>
                <w:lang w:eastAsia="zh-CN"/>
              </w:rPr>
              <w:t>1</w:t>
            </w:r>
            <w:r>
              <w:rPr>
                <w:highlight w:val="none"/>
                <w:lang w:eastAsia="zh-CN"/>
              </w:rPr>
              <w:t>、q</w:t>
            </w:r>
            <w:r>
              <w:rPr>
                <w:highlight w:val="none"/>
                <w:vertAlign w:val="subscript"/>
                <w:lang w:eastAsia="zh-CN"/>
              </w:rPr>
              <w:t>2</w:t>
            </w:r>
            <w:r>
              <w:rPr>
                <w:highlight w:val="none"/>
                <w:lang w:eastAsia="zh-CN"/>
              </w:rPr>
              <w:t>、q</w:t>
            </w:r>
            <w:r>
              <w:rPr>
                <w:highlight w:val="none"/>
                <w:vertAlign w:val="subscript"/>
                <w:lang w:eastAsia="zh-CN"/>
              </w:rPr>
              <w:t>3</w:t>
            </w:r>
            <w:r>
              <w:rPr>
                <w:highlight w:val="none"/>
                <w:lang w:eastAsia="zh-CN"/>
              </w:rPr>
              <w:t>——每种物质存在的实际存量，t；</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Q</w:t>
            </w:r>
            <w:r>
              <w:rPr>
                <w:highlight w:val="none"/>
                <w:vertAlign w:val="subscript"/>
                <w:lang w:eastAsia="zh-CN"/>
              </w:rPr>
              <w:t>1</w:t>
            </w:r>
            <w:r>
              <w:rPr>
                <w:highlight w:val="none"/>
                <w:lang w:eastAsia="zh-CN"/>
              </w:rPr>
              <w:t>、Q</w:t>
            </w:r>
            <w:r>
              <w:rPr>
                <w:highlight w:val="none"/>
                <w:vertAlign w:val="subscript"/>
                <w:lang w:eastAsia="zh-CN"/>
              </w:rPr>
              <w:t>2</w:t>
            </w:r>
            <w:r>
              <w:rPr>
                <w:highlight w:val="none"/>
                <w:lang w:eastAsia="zh-CN"/>
              </w:rPr>
              <w:t>、Q</w:t>
            </w:r>
            <w:r>
              <w:rPr>
                <w:highlight w:val="none"/>
                <w:vertAlign w:val="subscript"/>
                <w:lang w:eastAsia="zh-CN"/>
              </w:rPr>
              <w:t>3</w:t>
            </w:r>
            <w:r>
              <w:rPr>
                <w:highlight w:val="none"/>
                <w:lang w:eastAsia="zh-CN"/>
              </w:rPr>
              <w:t>——各危险物质相对应的生产场所或贮存区临界量，t；</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根据本项目风险物质在厂区内最大存在总量，对照 HJ169-2018附录B对应临界量计算Q值，判别依据见下表。</w:t>
            </w:r>
          </w:p>
          <w:p>
            <w:pPr>
              <w:pStyle w:val="18"/>
              <w:keepNext w:val="0"/>
              <w:keepLines w:val="0"/>
              <w:pageBreakBefore w:val="0"/>
              <w:kinsoku/>
              <w:wordWrap/>
              <w:overflowPunct w:val="0"/>
              <w:topLinePunct w:val="0"/>
              <w:autoSpaceDE w:val="0"/>
              <w:autoSpaceDN w:val="0"/>
              <w:bidi w:val="0"/>
              <w:adjustRightInd w:val="0"/>
              <w:snapToGrid w:val="0"/>
              <w:rPr>
                <w:highlight w:val="none"/>
              </w:rPr>
            </w:pPr>
            <w:r>
              <w:rPr>
                <w:highlight w:val="none"/>
              </w:rPr>
              <w:t>表4-1</w:t>
            </w:r>
            <w:r>
              <w:rPr>
                <w:rFonts w:hint="eastAsia"/>
                <w:highlight w:val="none"/>
                <w:lang w:eastAsia="zh-CN"/>
              </w:rPr>
              <w:t>5</w:t>
            </w:r>
            <w:r>
              <w:rPr>
                <w:highlight w:val="none"/>
              </w:rPr>
              <w:t xml:space="preserve">  本次项目Q值确定表</w:t>
            </w:r>
          </w:p>
          <w:tbl>
            <w:tblPr>
              <w:tblStyle w:val="21"/>
              <w:tblW w:w="0" w:type="auto"/>
              <w:tblInd w:w="10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46"/>
              <w:gridCol w:w="738"/>
              <w:gridCol w:w="1110"/>
              <w:gridCol w:w="4007"/>
              <w:gridCol w:w="136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4" w:hRule="atLeast"/>
              </w:trPr>
              <w:tc>
                <w:tcPr>
                  <w:tcW w:w="84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物质名称</w:t>
                  </w:r>
                </w:p>
              </w:tc>
              <w:tc>
                <w:tcPr>
                  <w:tcW w:w="738" w:type="dxa"/>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lang w:eastAsia="en-US"/>
                      <w14:textFill>
                        <w14:solidFill>
                          <w14:schemeClr w14:val="tx1"/>
                        </w14:solidFill>
                      </w14:textFill>
                    </w:rPr>
                  </w:pPr>
                  <w:r>
                    <w:rPr>
                      <w:color w:val="000000" w:themeColor="text1"/>
                      <w:highlight w:val="none"/>
                      <w14:textFill>
                        <w14:solidFill>
                          <w14:schemeClr w14:val="tx1"/>
                        </w14:solidFill>
                      </w14:textFill>
                    </w:rPr>
                    <w:t>最大量（t）</w:t>
                  </w:r>
                </w:p>
              </w:tc>
              <w:tc>
                <w:tcPr>
                  <w:tcW w:w="1110" w:type="dxa"/>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lang w:eastAsia="en-US"/>
                      <w14:textFill>
                        <w14:solidFill>
                          <w14:schemeClr w14:val="tx1"/>
                        </w14:solidFill>
                      </w14:textFill>
                    </w:rPr>
                  </w:pPr>
                  <w:r>
                    <w:rPr>
                      <w:color w:val="000000" w:themeColor="text1"/>
                      <w:highlight w:val="none"/>
                      <w14:textFill>
                        <w14:solidFill>
                          <w14:schemeClr w14:val="tx1"/>
                        </w14:solidFill>
                      </w14:textFill>
                    </w:rPr>
                    <w:t>临界储存量（t）</w:t>
                  </w:r>
                </w:p>
              </w:tc>
              <w:tc>
                <w:tcPr>
                  <w:tcW w:w="4007" w:type="dxa"/>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风险物质类别</w:t>
                  </w:r>
                </w:p>
              </w:tc>
              <w:tc>
                <w:tcPr>
                  <w:tcW w:w="1366" w:type="dxa"/>
                  <w:vAlign w:val="center"/>
                </w:tcPr>
                <w:p>
                  <w:pPr>
                    <w:pStyle w:val="17"/>
                    <w:keepNext w:val="0"/>
                    <w:keepLines w:val="0"/>
                    <w:pageBreakBefore w:val="0"/>
                    <w:kinsoku/>
                    <w:wordWrap/>
                    <w:overflowPunct w:val="0"/>
                    <w:topLinePunct w:val="0"/>
                    <w:autoSpaceDE w:val="0"/>
                    <w:autoSpaceDN w:val="0"/>
                    <w:bidi w:val="0"/>
                    <w:adjustRightInd w:val="0"/>
                    <w:snapToGrid w:val="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Q</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4" w:hRule="atLeast"/>
              </w:trPr>
              <w:tc>
                <w:tcPr>
                  <w:tcW w:w="846" w:type="dxa"/>
                  <w:vAlign w:val="center"/>
                </w:tcPr>
                <w:p>
                  <w:pPr>
                    <w:pStyle w:val="17"/>
                    <w:keepNext w:val="0"/>
                    <w:keepLines w:val="0"/>
                    <w:pageBreakBefore w:val="0"/>
                    <w:kinsoku/>
                    <w:wordWrap/>
                    <w:overflowPunct w:val="0"/>
                    <w:topLinePunct w:val="0"/>
                    <w:autoSpaceDE w:val="0"/>
                    <w:autoSpaceDN w:val="0"/>
                    <w:bidi w:val="0"/>
                    <w:adjustRightInd w:val="0"/>
                    <w:snapToGrid w:val="0"/>
                    <w:rPr>
                      <w:rFonts w:hint="default" w:eastAsia="宋体"/>
                      <w:highlight w:val="none"/>
                      <w:lang w:val="en-US" w:eastAsia="zh-CN"/>
                    </w:rPr>
                  </w:pPr>
                  <w:r>
                    <w:rPr>
                      <w:rFonts w:hint="eastAsia"/>
                      <w:highlight w:val="none"/>
                    </w:rPr>
                    <w:t>润滑油</w:t>
                  </w:r>
                  <w:r>
                    <w:rPr>
                      <w:rFonts w:hint="eastAsia"/>
                      <w:highlight w:val="none"/>
                      <w:lang w:val="en-US" w:eastAsia="zh-CN"/>
                    </w:rPr>
                    <w:t>和润滑脂</w:t>
                  </w:r>
                </w:p>
              </w:tc>
              <w:tc>
                <w:tcPr>
                  <w:tcW w:w="7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0.102</w:t>
                  </w:r>
                </w:p>
              </w:tc>
              <w:tc>
                <w:tcPr>
                  <w:tcW w:w="111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2500</w:t>
                  </w:r>
                </w:p>
              </w:tc>
              <w:tc>
                <w:tcPr>
                  <w:tcW w:w="4007" w:type="dxa"/>
                  <w:vAlign w:val="center"/>
                </w:tcPr>
                <w:p>
                  <w:pPr>
                    <w:pStyle w:val="17"/>
                    <w:keepNext w:val="0"/>
                    <w:keepLines w:val="0"/>
                    <w:pageBreakBefore w:val="0"/>
                    <w:kinsoku/>
                    <w:wordWrap/>
                    <w:overflowPunct w:val="0"/>
                    <w:topLinePunct w:val="0"/>
                    <w:autoSpaceDE w:val="0"/>
                    <w:autoSpaceDN w:val="0"/>
                    <w:bidi w:val="0"/>
                    <w:adjustRightInd w:val="0"/>
                    <w:snapToGrid w:val="0"/>
                    <w:rPr>
                      <w:szCs w:val="21"/>
                      <w:highlight w:val="none"/>
                    </w:rPr>
                  </w:pPr>
                  <w:r>
                    <w:rPr>
                      <w:rFonts w:hint="eastAsia"/>
                      <w:szCs w:val="21"/>
                      <w:highlight w:val="none"/>
                    </w:rPr>
                    <w:t>表B.1突发环境事件风险物质及临界量</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szCs w:val="21"/>
                      <w:highlight w:val="none"/>
                    </w:rPr>
                    <w:t>381油类物质</w:t>
                  </w:r>
                </w:p>
              </w:tc>
              <w:tc>
                <w:tcPr>
                  <w:tcW w:w="136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0.0000408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84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危险废物</w:t>
                  </w:r>
                </w:p>
              </w:tc>
              <w:tc>
                <w:tcPr>
                  <w:tcW w:w="738"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w:t>
                  </w:r>
                  <w:r>
                    <w:rPr>
                      <w:rFonts w:hint="eastAsia"/>
                      <w:highlight w:val="none"/>
                      <w:lang w:val="en-US" w:eastAsia="zh-CN"/>
                    </w:rPr>
                    <w:t>1</w:t>
                  </w:r>
                  <w:r>
                    <w:rPr>
                      <w:rFonts w:hint="eastAsia"/>
                      <w:highlight w:val="none"/>
                    </w:rPr>
                    <w:t>598</w:t>
                  </w:r>
                </w:p>
              </w:tc>
              <w:tc>
                <w:tcPr>
                  <w:tcW w:w="1110"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lang w:eastAsia="en-US"/>
                    </w:rPr>
                  </w:pPr>
                  <w:r>
                    <w:rPr>
                      <w:highlight w:val="none"/>
                    </w:rPr>
                    <w:t>50</w:t>
                  </w:r>
                </w:p>
              </w:tc>
              <w:tc>
                <w:tcPr>
                  <w:tcW w:w="4007" w:type="dxa"/>
                  <w:vAlign w:val="center"/>
                </w:tcPr>
                <w:p>
                  <w:pPr>
                    <w:pStyle w:val="17"/>
                    <w:keepNext w:val="0"/>
                    <w:keepLines w:val="0"/>
                    <w:pageBreakBefore w:val="0"/>
                    <w:kinsoku/>
                    <w:wordWrap/>
                    <w:overflowPunct w:val="0"/>
                    <w:topLinePunct w:val="0"/>
                    <w:autoSpaceDE w:val="0"/>
                    <w:autoSpaceDN w:val="0"/>
                    <w:bidi w:val="0"/>
                    <w:adjustRightInd w:val="0"/>
                    <w:snapToGrid w:val="0"/>
                    <w:rPr>
                      <w:szCs w:val="21"/>
                      <w:highlight w:val="none"/>
                    </w:rPr>
                  </w:pPr>
                  <w:r>
                    <w:rPr>
                      <w:rFonts w:hint="eastAsia"/>
                      <w:szCs w:val="21"/>
                      <w:highlight w:val="none"/>
                    </w:rPr>
                    <w:t>表B.2其他危险物质临界量推荐值</w:t>
                  </w:r>
                </w:p>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szCs w:val="21"/>
                      <w:highlight w:val="none"/>
                    </w:rPr>
                    <w:t>健康危险急性毒性物质</w:t>
                  </w:r>
                </w:p>
              </w:tc>
              <w:tc>
                <w:tcPr>
                  <w:tcW w:w="136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0.00</w:t>
                  </w:r>
                  <w:r>
                    <w:rPr>
                      <w:rFonts w:hint="eastAsia"/>
                      <w:highlight w:val="none"/>
                      <w:lang w:val="en-US" w:eastAsia="zh-CN"/>
                    </w:rPr>
                    <w:t>3</w:t>
                  </w:r>
                  <w:r>
                    <w:rPr>
                      <w:rFonts w:hint="eastAsia"/>
                      <w:highlight w:val="none"/>
                    </w:rPr>
                    <w:t>196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6701" w:type="dxa"/>
                  <w:gridSpan w:val="4"/>
                  <w:vAlign w:val="center"/>
                </w:tcPr>
                <w:p>
                  <w:pPr>
                    <w:pStyle w:val="17"/>
                    <w:keepNext w:val="0"/>
                    <w:keepLines w:val="0"/>
                    <w:pageBreakBefore w:val="0"/>
                    <w:kinsoku/>
                    <w:wordWrap/>
                    <w:overflowPunct w:val="0"/>
                    <w:topLinePunct w:val="0"/>
                    <w:autoSpaceDE w:val="0"/>
                    <w:autoSpaceDN w:val="0"/>
                    <w:bidi w:val="0"/>
                    <w:adjustRightInd w:val="0"/>
                    <w:snapToGrid w:val="0"/>
                    <w:rPr>
                      <w:szCs w:val="21"/>
                      <w:highlight w:val="none"/>
                    </w:rPr>
                  </w:pPr>
                  <w:r>
                    <w:rPr>
                      <w:rFonts w:hint="eastAsia"/>
                      <w:szCs w:val="21"/>
                      <w:highlight w:val="none"/>
                    </w:rPr>
                    <w:t>合计</w:t>
                  </w:r>
                </w:p>
              </w:tc>
              <w:tc>
                <w:tcPr>
                  <w:tcW w:w="1366"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0.0012368</w:t>
                  </w:r>
                </w:p>
              </w:tc>
            </w:tr>
          </w:tbl>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综上可知，本项目Q=</w:t>
            </w:r>
            <w:r>
              <w:rPr>
                <w:rFonts w:hint="eastAsia"/>
                <w:highlight w:val="none"/>
                <w:lang w:eastAsia="zh-CN"/>
              </w:rPr>
              <w:t>0.0012368</w:t>
            </w:r>
            <w:r>
              <w:rPr>
                <w:highlight w:val="none"/>
                <w:lang w:eastAsia="zh-CN"/>
              </w:rPr>
              <w:t>＜1，根据《建设项目环境影响报告表编制技术指南（污染影响类）（试行）》的要求可知，本项目不需开展环境风险专项评价。当Q＜1时，该项目环境风险潜势为Ⅰ</w:t>
            </w:r>
            <w:r>
              <w:rPr>
                <w:rFonts w:hint="eastAsia"/>
                <w:highlight w:val="none"/>
                <w:lang w:eastAsia="zh-CN"/>
              </w:rPr>
              <w:t>，</w:t>
            </w:r>
            <w:r>
              <w:rPr>
                <w:highlight w:val="none"/>
                <w:lang w:eastAsia="zh-CN"/>
              </w:rPr>
              <w:t>开展简单分析。本项目仅分析环境风险源分布情况及可能造成的影响途径，并提出相应环境风险防范措施。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（2）风险源分布情况</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企业生产过程中的危险物质和风险源分布情况见下表：</w:t>
            </w:r>
          </w:p>
          <w:p>
            <w:pPr>
              <w:pStyle w:val="18"/>
              <w:keepNext w:val="0"/>
              <w:keepLines w:val="0"/>
              <w:pageBreakBefore w:val="0"/>
              <w:kinsoku/>
              <w:wordWrap/>
              <w:overflowPunct w:val="0"/>
              <w:topLinePunct w:val="0"/>
              <w:autoSpaceDE w:val="0"/>
              <w:autoSpaceDN w:val="0"/>
              <w:bidi w:val="0"/>
              <w:adjustRightInd w:val="0"/>
              <w:snapToGrid w:val="0"/>
              <w:rPr>
                <w:highlight w:val="none"/>
                <w:lang w:eastAsia="zh-CN"/>
              </w:rPr>
            </w:pPr>
            <w:r>
              <w:rPr>
                <w:highlight w:val="none"/>
                <w:lang w:eastAsia="zh-CN"/>
              </w:rPr>
              <w:t>表4-</w:t>
            </w:r>
            <w:r>
              <w:rPr>
                <w:rFonts w:hint="eastAsia"/>
                <w:highlight w:val="none"/>
                <w:lang w:eastAsia="zh-CN"/>
              </w:rPr>
              <w:t>16</w:t>
            </w:r>
            <w:r>
              <w:rPr>
                <w:highlight w:val="none"/>
                <w:lang w:eastAsia="zh-CN"/>
              </w:rPr>
              <w:t xml:space="preserve">  危险物质和风险源分布情况表</w:t>
            </w:r>
          </w:p>
          <w:tbl>
            <w:tblPr>
              <w:tblStyle w:val="21"/>
              <w:tblW w:w="8050" w:type="dxa"/>
              <w:tblInd w:w="10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309"/>
              <w:gridCol w:w="374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 w:hRule="atLeast"/>
              </w:trPr>
              <w:tc>
                <w:tcPr>
                  <w:tcW w:w="4309" w:type="dxa"/>
                  <w:tcBorders>
                    <w:top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风险物质</w:t>
                  </w:r>
                </w:p>
              </w:tc>
              <w:tc>
                <w:tcPr>
                  <w:tcW w:w="3741" w:type="dxa"/>
                  <w:tcBorders>
                    <w:top w:val="single" w:color="000000" w:sz="6" w:space="0"/>
                    <w:right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风险源分布情况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7" w:hRule="atLeast"/>
              </w:trPr>
              <w:tc>
                <w:tcPr>
                  <w:tcW w:w="4309" w:type="dxa"/>
                  <w:vAlign w:val="center"/>
                </w:tcPr>
                <w:p>
                  <w:pPr>
                    <w:pStyle w:val="17"/>
                    <w:keepNext w:val="0"/>
                    <w:keepLines w:val="0"/>
                    <w:pageBreakBefore w:val="0"/>
                    <w:kinsoku/>
                    <w:wordWrap/>
                    <w:overflowPunct w:val="0"/>
                    <w:topLinePunct w:val="0"/>
                    <w:autoSpaceDE w:val="0"/>
                    <w:autoSpaceDN w:val="0"/>
                    <w:bidi w:val="0"/>
                    <w:adjustRightInd w:val="0"/>
                    <w:snapToGrid w:val="0"/>
                    <w:rPr>
                      <w:rFonts w:hint="eastAsia" w:eastAsia="宋体"/>
                      <w:highlight w:val="none"/>
                      <w:lang w:eastAsia="zh-CN"/>
                    </w:rPr>
                  </w:pPr>
                  <w:r>
                    <w:rPr>
                      <w:rFonts w:hint="eastAsia"/>
                      <w:highlight w:val="none"/>
                    </w:rPr>
                    <w:t>润滑油</w:t>
                  </w:r>
                  <w:r>
                    <w:rPr>
                      <w:rFonts w:hint="eastAsia"/>
                      <w:highlight w:val="none"/>
                      <w:lang w:eastAsia="zh-CN"/>
                    </w:rPr>
                    <w:t>、</w:t>
                  </w:r>
                  <w:r>
                    <w:rPr>
                      <w:rFonts w:hint="eastAsia"/>
                      <w:highlight w:val="none"/>
                    </w:rPr>
                    <w:t>润滑</w:t>
                  </w:r>
                  <w:r>
                    <w:rPr>
                      <w:rFonts w:hint="eastAsia"/>
                      <w:highlight w:val="none"/>
                      <w:lang w:val="en-US" w:eastAsia="zh-CN"/>
                    </w:rPr>
                    <w:t>脂</w:t>
                  </w:r>
                </w:p>
              </w:tc>
              <w:tc>
                <w:tcPr>
                  <w:tcW w:w="3741" w:type="dxa"/>
                  <w:tcBorders>
                    <w:right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化学品</w:t>
                  </w:r>
                  <w:r>
                    <w:rPr>
                      <w:highlight w:val="none"/>
                    </w:rPr>
                    <w:t>库</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89" w:hRule="atLeast"/>
              </w:trPr>
              <w:tc>
                <w:tcPr>
                  <w:tcW w:w="4309" w:type="dxa"/>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highlight w:val="none"/>
                    </w:rPr>
                    <w:t>废润滑油及润滑油桶</w:t>
                  </w:r>
                </w:p>
              </w:tc>
              <w:tc>
                <w:tcPr>
                  <w:tcW w:w="3741" w:type="dxa"/>
                  <w:tcBorders>
                    <w:right w:val="single" w:color="000000" w:sz="6" w:space="0"/>
                  </w:tcBorders>
                  <w:vAlign w:val="center"/>
                </w:tcPr>
                <w:p>
                  <w:pPr>
                    <w:pStyle w:val="17"/>
                    <w:keepNext w:val="0"/>
                    <w:keepLines w:val="0"/>
                    <w:pageBreakBefore w:val="0"/>
                    <w:kinsoku/>
                    <w:wordWrap/>
                    <w:overflowPunct w:val="0"/>
                    <w:topLinePunct w:val="0"/>
                    <w:autoSpaceDE w:val="0"/>
                    <w:autoSpaceDN w:val="0"/>
                    <w:bidi w:val="0"/>
                    <w:adjustRightInd w:val="0"/>
                    <w:snapToGrid w:val="0"/>
                    <w:rPr>
                      <w:highlight w:val="none"/>
                    </w:rPr>
                  </w:pPr>
                  <w:r>
                    <w:rPr>
                      <w:rFonts w:hint="eastAsia"/>
                      <w:highlight w:val="none"/>
                    </w:rPr>
                    <w:t>危废暂存间</w:t>
                  </w:r>
                </w:p>
              </w:tc>
            </w:tr>
          </w:tbl>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（3）环境风险影响途径</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项目润滑油</w:t>
            </w:r>
            <w:r>
              <w:rPr>
                <w:rFonts w:hint="eastAsia"/>
                <w:highlight w:val="none"/>
                <w:lang w:eastAsia="zh-CN"/>
              </w:rPr>
              <w:t>和</w:t>
            </w:r>
            <w:r>
              <w:rPr>
                <w:highlight w:val="none"/>
                <w:lang w:eastAsia="zh-CN"/>
              </w:rPr>
              <w:t>危险废物等发生遗散或者泄漏时，如果能及时采取收集措施（如托盘、封堵等），对泄漏的物料进行有效收集则可避免对土壤、地下水造成不利影响；如果泄漏后不能有效收集或在厂区内运输过程中发生泄漏或事故处置过程中事故废水不能有效收集，泄漏物扩散至厂区绿化带或雨水管道，则会对土壤、地下水、地表水造成不利影响。泄漏事故发生后，泄漏的化学品蒸发/挥发进入大气，将会对大气环境造成一定不利影响，且本项目风险物质润滑油以及</w:t>
            </w:r>
            <w:r>
              <w:rPr>
                <w:rFonts w:hint="eastAsia"/>
                <w:highlight w:val="none"/>
                <w:lang w:eastAsia="zh-CN"/>
              </w:rPr>
              <w:t>危险废物</w:t>
            </w:r>
            <w:r>
              <w:rPr>
                <w:highlight w:val="none"/>
                <w:lang w:eastAsia="zh-CN"/>
              </w:rPr>
              <w:t>大部分属于可燃物质，在泄漏遇明火的情况下易发生火灾事故，进而会引发伴生/次生CO等物质，造成大气污染。</w:t>
            </w:r>
          </w:p>
          <w:p>
            <w:pPr>
              <w:pStyle w:val="8"/>
              <w:keepNext w:val="0"/>
              <w:keepLines w:val="0"/>
              <w:pageBreakBefore w:val="0"/>
              <w:kinsoku/>
              <w:wordWrap/>
              <w:overflowPunct w:val="0"/>
              <w:topLinePunct w:val="0"/>
              <w:autoSpaceDE w:val="0"/>
              <w:autoSpaceDN w:val="0"/>
              <w:bidi w:val="0"/>
              <w:adjustRightInd w:val="0"/>
              <w:snapToGrid w:val="0"/>
              <w:ind w:firstLine="480"/>
              <w:rPr>
                <w:rFonts w:hint="eastAsia"/>
                <w:b/>
                <w:bCs/>
                <w:highlight w:val="none"/>
                <w:lang w:val="en-US" w:eastAsia="zh-CN"/>
              </w:rPr>
            </w:pPr>
            <w:r>
              <w:rPr>
                <w:rFonts w:hint="eastAsia"/>
                <w:b/>
                <w:bCs/>
                <w:highlight w:val="none"/>
                <w:lang w:val="en-US" w:eastAsia="zh-CN"/>
              </w:rPr>
              <w:t>2、环境风险分析</w:t>
            </w:r>
          </w:p>
          <w:p>
            <w:pPr>
              <w:pStyle w:val="18"/>
              <w:keepNext w:val="0"/>
              <w:keepLines w:val="0"/>
              <w:pageBreakBefore w:val="0"/>
              <w:kinsoku/>
              <w:wordWrap/>
              <w:overflowPunct w:val="0"/>
              <w:topLinePunct w:val="0"/>
              <w:autoSpaceDE w:val="0"/>
              <w:autoSpaceDN w:val="0"/>
              <w:bidi w:val="0"/>
              <w:adjustRightInd w:val="0"/>
              <w:snapToGrid w:val="0"/>
              <w:rPr>
                <w:rFonts w:hint="eastAsia"/>
                <w:highlight w:val="none"/>
                <w:lang w:val="en-US" w:eastAsia="zh-CN"/>
              </w:rPr>
            </w:pPr>
            <w:r>
              <w:rPr>
                <w:rFonts w:hint="eastAsia"/>
                <w:highlight w:val="none"/>
                <w:lang w:val="en-US" w:eastAsia="zh-CN"/>
              </w:rPr>
              <w:t>表4-17  项目环境风险简单分析一览表</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7"/>
              <w:gridCol w:w="1195"/>
              <w:gridCol w:w="2281"/>
              <w:gridCol w:w="1034"/>
              <w:gridCol w:w="24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107"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建设项目名称</w:t>
                  </w:r>
                </w:p>
              </w:tc>
              <w:tc>
                <w:tcPr>
                  <w:tcW w:w="6953" w:type="dxa"/>
                  <w:gridSpan w:val="4"/>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马瑞利动力系统(合肥)有限公司年产100万件驻车执行器项目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107"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建设地点</w:t>
                  </w:r>
                </w:p>
              </w:tc>
              <w:tc>
                <w:tcPr>
                  <w:tcW w:w="6953" w:type="dxa"/>
                  <w:gridSpan w:val="4"/>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合肥高新区柏堰科技园宁西路108号马瑞利动力系统（合肥）有限公司厂区内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107"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地理坐标</w:t>
                  </w:r>
                </w:p>
              </w:tc>
              <w:tc>
                <w:tcPr>
                  <w:tcW w:w="1195"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color w:val="auto"/>
                      <w:highlight w:val="none"/>
                      <w:lang w:eastAsia="zh-CN"/>
                    </w:rPr>
                    <w:t>经度</w:t>
                  </w:r>
                </w:p>
              </w:tc>
              <w:tc>
                <w:tcPr>
                  <w:tcW w:w="2281"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color w:val="auto"/>
                      <w:highlight w:val="none"/>
                      <w:lang w:eastAsia="zh-CN"/>
                    </w:rPr>
                    <w:t>117 度 8 分 8.702 秒</w:t>
                  </w:r>
                </w:p>
              </w:tc>
              <w:tc>
                <w:tcPr>
                  <w:tcW w:w="1034"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color w:val="auto"/>
                      <w:highlight w:val="none"/>
                      <w:lang w:eastAsia="zh-CN"/>
                    </w:rPr>
                    <w:t>纬度</w:t>
                  </w:r>
                </w:p>
              </w:tc>
              <w:tc>
                <w:tcPr>
                  <w:tcW w:w="2443"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color w:val="auto"/>
                      <w:highlight w:val="none"/>
                      <w:lang w:eastAsia="zh-CN"/>
                    </w:rPr>
                    <w:t>31 度 47 分 30.905 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107"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主要危险物质及分布</w:t>
                  </w:r>
                </w:p>
              </w:tc>
              <w:tc>
                <w:tcPr>
                  <w:tcW w:w="6953" w:type="dxa"/>
                  <w:gridSpan w:val="4"/>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危险废物、</w:t>
                  </w:r>
                  <w:r>
                    <w:rPr>
                      <w:rFonts w:hint="eastAsia"/>
                      <w:highlight w:val="none"/>
                      <w:lang w:val="en-US" w:eastAsia="zh-CN"/>
                    </w:rPr>
                    <w:t>润滑油、</w:t>
                  </w:r>
                  <w:r>
                    <w:rPr>
                      <w:rFonts w:hint="eastAsia"/>
                      <w:highlight w:val="none"/>
                    </w:rPr>
                    <w:t>润滑</w:t>
                  </w:r>
                  <w:r>
                    <w:rPr>
                      <w:rFonts w:hint="eastAsia"/>
                      <w:highlight w:val="none"/>
                      <w:lang w:val="en-US" w:eastAsia="zh-CN"/>
                    </w:rPr>
                    <w:t>脂；</w:t>
                  </w:r>
                  <w:r>
                    <w:rPr>
                      <w:rFonts w:hint="default"/>
                      <w:highlight w:val="none"/>
                      <w:lang w:val="en-US" w:eastAsia="zh-CN"/>
                    </w:rPr>
                    <w:t>危废</w:t>
                  </w:r>
                  <w:r>
                    <w:rPr>
                      <w:rFonts w:hint="eastAsia"/>
                      <w:highlight w:val="none"/>
                      <w:lang w:val="en-US" w:eastAsia="zh-CN"/>
                    </w:rPr>
                    <w:t>间</w:t>
                  </w:r>
                  <w:r>
                    <w:rPr>
                      <w:rFonts w:hint="default"/>
                      <w:highlight w:val="none"/>
                      <w:lang w:val="en-US" w:eastAsia="zh-CN"/>
                    </w:rPr>
                    <w:t>、</w:t>
                  </w:r>
                  <w:r>
                    <w:rPr>
                      <w:rFonts w:hint="eastAsia"/>
                      <w:highlight w:val="none"/>
                      <w:lang w:val="en-US" w:eastAsia="zh-CN"/>
                    </w:rPr>
                    <w:t>化学品仓库</w:t>
                  </w:r>
                  <w:r>
                    <w:rPr>
                      <w:rFonts w:hint="default"/>
                      <w:highlight w:val="none"/>
                      <w:lang w:val="en-US" w:eastAsia="zh-CN"/>
                    </w:rPr>
                    <w:t>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jc w:val="center"/>
              </w:trPr>
              <w:tc>
                <w:tcPr>
                  <w:tcW w:w="1107"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环境影响途径及危害效果</w:t>
                  </w:r>
                </w:p>
              </w:tc>
              <w:tc>
                <w:tcPr>
                  <w:tcW w:w="6953" w:type="dxa"/>
                  <w:gridSpan w:val="4"/>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发生泄漏、火灾事故;影响周围环境空气、地下水环境及土壤环境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1107" w:type="dxa"/>
                  <w:vAlign w:val="center"/>
                </w:tcPr>
                <w:p>
                  <w:pPr>
                    <w:pStyle w:val="17"/>
                    <w:keepNext w:val="0"/>
                    <w:keepLines w:val="0"/>
                    <w:pageBreakBefore w:val="0"/>
                    <w:kinsoku/>
                    <w:wordWrap/>
                    <w:overflowPunct w:val="0"/>
                    <w:topLinePunct w:val="0"/>
                    <w:autoSpaceDE w:val="0"/>
                    <w:autoSpaceDN w:val="0"/>
                    <w:bidi w:val="0"/>
                    <w:adjustRightInd w:val="0"/>
                    <w:snapToGrid w:val="0"/>
                    <w:jc w:val="center"/>
                    <w:rPr>
                      <w:rFonts w:hint="default"/>
                      <w:highlight w:val="none"/>
                      <w:lang w:val="en-US" w:eastAsia="zh-CN"/>
                    </w:rPr>
                  </w:pPr>
                  <w:r>
                    <w:rPr>
                      <w:rFonts w:hint="default"/>
                      <w:highlight w:val="none"/>
                      <w:lang w:val="en-US" w:eastAsia="zh-CN"/>
                    </w:rPr>
                    <w:t>风险防范要求</w:t>
                  </w:r>
                </w:p>
              </w:tc>
              <w:tc>
                <w:tcPr>
                  <w:tcW w:w="6953" w:type="dxa"/>
                  <w:gridSpan w:val="4"/>
                  <w:vAlign w:val="center"/>
                </w:tcPr>
                <w:p>
                  <w:pPr>
                    <w:pStyle w:val="17"/>
                    <w:keepNext w:val="0"/>
                    <w:keepLines w:val="0"/>
                    <w:pageBreakBefore w:val="0"/>
                    <w:kinsoku/>
                    <w:wordWrap/>
                    <w:overflowPunct w:val="0"/>
                    <w:topLinePunct w:val="0"/>
                    <w:autoSpaceDE w:val="0"/>
                    <w:autoSpaceDN w:val="0"/>
                    <w:bidi w:val="0"/>
                    <w:adjustRightInd w:val="0"/>
                    <w:snapToGrid w:val="0"/>
                    <w:jc w:val="both"/>
                    <w:rPr>
                      <w:rFonts w:hint="default"/>
                      <w:highlight w:val="none"/>
                      <w:lang w:val="en-US" w:eastAsia="zh-CN"/>
                    </w:rPr>
                  </w:pPr>
                  <w:r>
                    <w:rPr>
                      <w:rFonts w:hint="eastAsia"/>
                      <w:highlight w:val="none"/>
                      <w:lang w:val="en-US" w:eastAsia="zh-CN"/>
                    </w:rPr>
                    <w:t>（1）</w:t>
                  </w:r>
                  <w:r>
                    <w:rPr>
                      <w:rFonts w:hint="default"/>
                      <w:highlight w:val="none"/>
                      <w:lang w:val="en-US" w:eastAsia="zh-CN"/>
                    </w:rPr>
                    <w:t>严格按照相关设计规范和要求落实防护设施，制定安全操作规章制度，加强安全意识教育，加强监督管理，消除事故隐患</w:t>
                  </w:r>
                  <w:r>
                    <w:rPr>
                      <w:rFonts w:hint="eastAsia"/>
                      <w:highlight w:val="none"/>
                      <w:lang w:val="en-US" w:eastAsia="zh-CN"/>
                    </w:rPr>
                    <w:t>；</w:t>
                  </w:r>
                </w:p>
                <w:p>
                  <w:pPr>
                    <w:pStyle w:val="17"/>
                    <w:keepNext w:val="0"/>
                    <w:keepLines w:val="0"/>
                    <w:pageBreakBefore w:val="0"/>
                    <w:kinsoku/>
                    <w:wordWrap/>
                    <w:overflowPunct w:val="0"/>
                    <w:topLinePunct w:val="0"/>
                    <w:autoSpaceDE w:val="0"/>
                    <w:autoSpaceDN w:val="0"/>
                    <w:bidi w:val="0"/>
                    <w:adjustRightInd w:val="0"/>
                    <w:snapToGrid w:val="0"/>
                    <w:jc w:val="both"/>
                    <w:rPr>
                      <w:rFonts w:hint="default"/>
                      <w:highlight w:val="none"/>
                      <w:lang w:val="en-US" w:eastAsia="zh-CN"/>
                    </w:rPr>
                  </w:pPr>
                  <w:r>
                    <w:rPr>
                      <w:rFonts w:hint="eastAsia"/>
                      <w:highlight w:val="none"/>
                      <w:lang w:val="en-US" w:eastAsia="zh-CN"/>
                    </w:rPr>
                    <w:t>（2）</w:t>
                  </w:r>
                  <w:r>
                    <w:rPr>
                      <w:rFonts w:hint="default"/>
                      <w:highlight w:val="none"/>
                      <w:lang w:val="en-US" w:eastAsia="zh-CN"/>
                    </w:rPr>
                    <w:t>地面做好防渗措施，设置防泄漏托盘，配备消防器材，定期检查消防设施的有效性及备用状态，当发生火灾爆炸时可及时控制不利影响</w:t>
                  </w:r>
                  <w:r>
                    <w:rPr>
                      <w:rFonts w:hint="eastAsia"/>
                      <w:highlight w:val="none"/>
                      <w:lang w:val="en-US" w:eastAsia="zh-CN"/>
                    </w:rPr>
                    <w:t>；</w:t>
                  </w:r>
                </w:p>
                <w:p>
                  <w:pPr>
                    <w:pStyle w:val="17"/>
                    <w:keepNext w:val="0"/>
                    <w:keepLines w:val="0"/>
                    <w:pageBreakBefore w:val="0"/>
                    <w:kinsoku/>
                    <w:wordWrap/>
                    <w:overflowPunct w:val="0"/>
                    <w:topLinePunct w:val="0"/>
                    <w:autoSpaceDE w:val="0"/>
                    <w:autoSpaceDN w:val="0"/>
                    <w:bidi w:val="0"/>
                    <w:adjustRightInd w:val="0"/>
                    <w:snapToGrid w:val="0"/>
                    <w:jc w:val="both"/>
                    <w:rPr>
                      <w:rFonts w:hint="default"/>
                      <w:highlight w:val="none"/>
                      <w:lang w:val="en-US" w:eastAsia="zh-CN"/>
                    </w:rPr>
                  </w:pPr>
                  <w:r>
                    <w:rPr>
                      <w:rFonts w:hint="eastAsia"/>
                      <w:highlight w:val="none"/>
                      <w:lang w:val="en-US" w:eastAsia="zh-CN"/>
                    </w:rPr>
                    <w:t>（3）</w:t>
                  </w:r>
                  <w:r>
                    <w:rPr>
                      <w:rFonts w:hint="default"/>
                      <w:highlight w:val="none"/>
                      <w:lang w:val="en-US" w:eastAsia="zh-CN"/>
                    </w:rPr>
                    <w:t>对员工进行消防培训，掌握安全技能，提高对事故的应急处理能力。</w:t>
                  </w:r>
                </w:p>
              </w:tc>
            </w:tr>
          </w:tbl>
          <w:p>
            <w:pPr>
              <w:pStyle w:val="8"/>
              <w:keepNext w:val="0"/>
              <w:keepLines w:val="0"/>
              <w:pageBreakBefore w:val="0"/>
              <w:kinsoku/>
              <w:wordWrap/>
              <w:overflowPunct w:val="0"/>
              <w:topLinePunct w:val="0"/>
              <w:autoSpaceDE w:val="0"/>
              <w:autoSpaceDN w:val="0"/>
              <w:bidi w:val="0"/>
              <w:adjustRightInd w:val="0"/>
              <w:snapToGrid w:val="0"/>
              <w:ind w:firstLine="480"/>
              <w:rPr>
                <w:rFonts w:hint="default"/>
                <w:highlight w:val="none"/>
                <w:lang w:val="en-US" w:eastAsia="zh-CN"/>
              </w:rPr>
            </w:pPr>
            <w:r>
              <w:rPr>
                <w:rFonts w:hint="default"/>
                <w:highlight w:val="none"/>
                <w:lang w:val="en-US" w:eastAsia="zh-CN"/>
              </w:rPr>
              <w:t>综合上表内容，本项目主要环境风险来自危废</w:t>
            </w:r>
            <w:r>
              <w:rPr>
                <w:rFonts w:hint="eastAsia"/>
                <w:highlight w:val="none"/>
                <w:lang w:val="en-US" w:eastAsia="zh-CN"/>
              </w:rPr>
              <w:t>间</w:t>
            </w:r>
            <w:r>
              <w:rPr>
                <w:rFonts w:hint="default"/>
                <w:highlight w:val="none"/>
                <w:lang w:val="en-US" w:eastAsia="zh-CN"/>
              </w:rPr>
              <w:t>、</w:t>
            </w:r>
            <w:r>
              <w:rPr>
                <w:rFonts w:hint="eastAsia"/>
                <w:highlight w:val="none"/>
                <w:lang w:val="en-US" w:eastAsia="zh-CN"/>
              </w:rPr>
              <w:t>化学品库</w:t>
            </w:r>
            <w:r>
              <w:rPr>
                <w:rFonts w:hint="default"/>
                <w:highlight w:val="none"/>
                <w:lang w:val="en-US" w:eastAsia="zh-CN"/>
              </w:rPr>
              <w:t>等。企业在加强监控、采取必要的风险防范措施的情况下，本项目的环境风险是可控的。</w:t>
            </w:r>
          </w:p>
          <w:p>
            <w:pPr>
              <w:pStyle w:val="8"/>
              <w:keepNext w:val="0"/>
              <w:keepLines w:val="0"/>
              <w:pageBreakBefore w:val="0"/>
              <w:kinsoku/>
              <w:wordWrap/>
              <w:overflowPunct w:val="0"/>
              <w:topLinePunct w:val="0"/>
              <w:autoSpaceDE w:val="0"/>
              <w:autoSpaceDN w:val="0"/>
              <w:bidi w:val="0"/>
              <w:adjustRightInd w:val="0"/>
              <w:snapToGrid w:val="0"/>
              <w:rPr>
                <w:b/>
                <w:bCs/>
                <w:highlight w:val="none"/>
                <w:lang w:eastAsia="zh-CN"/>
              </w:rPr>
            </w:pPr>
            <w:r>
              <w:rPr>
                <w:rFonts w:hint="eastAsia"/>
                <w:b/>
                <w:bCs/>
                <w:highlight w:val="none"/>
                <w:lang w:val="en-US" w:eastAsia="zh-CN"/>
              </w:rPr>
              <w:t>3、</w:t>
            </w:r>
            <w:r>
              <w:rPr>
                <w:b/>
                <w:bCs/>
                <w:highlight w:val="none"/>
                <w:lang w:eastAsia="zh-CN"/>
              </w:rPr>
              <w:t>环境风险防范措施及应急措施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w:t>
            </w:r>
            <w:r>
              <w:rPr>
                <w:highlight w:val="none"/>
                <w:lang w:eastAsia="zh-CN"/>
              </w:rPr>
              <w:t>1）化学品库、危废暂存间现有环境风险防范及应急措施：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在扩建项目投入运营后，增加的</w:t>
            </w:r>
            <w:r>
              <w:rPr>
                <w:rFonts w:hint="eastAsia"/>
                <w:highlight w:val="none"/>
                <w:lang w:eastAsia="zh-CN"/>
              </w:rPr>
              <w:t>润滑油、</w:t>
            </w:r>
            <w:r>
              <w:rPr>
                <w:rFonts w:hint="eastAsia"/>
                <w:highlight w:val="none"/>
              </w:rPr>
              <w:t>润滑</w:t>
            </w:r>
            <w:r>
              <w:rPr>
                <w:rFonts w:hint="eastAsia"/>
                <w:highlight w:val="none"/>
                <w:lang w:val="en-US" w:eastAsia="zh-CN"/>
              </w:rPr>
              <w:t>脂</w:t>
            </w:r>
            <w:r>
              <w:rPr>
                <w:highlight w:val="none"/>
                <w:lang w:eastAsia="zh-CN"/>
              </w:rPr>
              <w:t>依托现有化学品</w:t>
            </w:r>
            <w:r>
              <w:rPr>
                <w:rFonts w:hint="eastAsia"/>
                <w:highlight w:val="none"/>
                <w:lang w:eastAsia="zh-CN"/>
              </w:rPr>
              <w:t>库</w:t>
            </w:r>
            <w:r>
              <w:rPr>
                <w:highlight w:val="none"/>
                <w:lang w:eastAsia="zh-CN"/>
              </w:rPr>
              <w:t>贮存，危险废物依托现有危废间内储存，根据现场调查，现有化学品库地面已进行重点防渗，设置收集槽（体积4m</w:t>
            </w:r>
            <w:r>
              <w:rPr>
                <w:highlight w:val="none"/>
                <w:vertAlign w:val="superscript"/>
                <w:lang w:eastAsia="zh-CN"/>
              </w:rPr>
              <w:t>3</w:t>
            </w:r>
            <w:r>
              <w:rPr>
                <w:highlight w:val="none"/>
                <w:lang w:eastAsia="zh-CN"/>
              </w:rPr>
              <w:t>）和集液池（体积为3m</w:t>
            </w:r>
            <w:r>
              <w:rPr>
                <w:highlight w:val="none"/>
                <w:vertAlign w:val="superscript"/>
                <w:lang w:eastAsia="zh-CN"/>
              </w:rPr>
              <w:t>3</w:t>
            </w:r>
            <w:r>
              <w:rPr>
                <w:highlight w:val="none"/>
                <w:lang w:eastAsia="zh-CN"/>
              </w:rPr>
              <w:t>）；现有危废间地面已进行重点防渗，设置收集槽（体积3.5m</w:t>
            </w:r>
            <w:r>
              <w:rPr>
                <w:highlight w:val="none"/>
                <w:vertAlign w:val="superscript"/>
                <w:lang w:eastAsia="zh-CN"/>
              </w:rPr>
              <w:t>3</w:t>
            </w:r>
            <w:r>
              <w:rPr>
                <w:highlight w:val="none"/>
                <w:lang w:eastAsia="zh-CN"/>
              </w:rPr>
              <w:t>）和集液池（体积2m</w:t>
            </w:r>
            <w:r>
              <w:rPr>
                <w:highlight w:val="none"/>
                <w:vertAlign w:val="superscript"/>
                <w:lang w:eastAsia="zh-CN"/>
              </w:rPr>
              <w:t>3</w:t>
            </w:r>
            <w:r>
              <w:rPr>
                <w:highlight w:val="none"/>
                <w:lang w:eastAsia="zh-CN"/>
              </w:rPr>
              <w:t>），内部配备了防渗托盘、沙袋等应急物资，现有环境风险防范及应急措施可控制此区域内的环境风险。</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w:t>
            </w:r>
            <w:r>
              <w:rPr>
                <w:highlight w:val="none"/>
                <w:lang w:eastAsia="zh-CN"/>
              </w:rPr>
              <w:t>2）本项目环境风险防范及应急措施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val="en-US" w:eastAsia="zh-CN"/>
              </w:rPr>
              <w:t>1）</w:t>
            </w:r>
            <w:r>
              <w:rPr>
                <w:highlight w:val="none"/>
                <w:lang w:eastAsia="zh-CN"/>
              </w:rPr>
              <w:t>平面布置和建筑安全防范措施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项目平面布置、防火间距应符合《建筑设计防火规范》和《工业企业总平面设计规范》等相关规定。物料储存车间建筑物耐火等级应符合《建筑设计防火规范》的有关规定，并通过消防、安全验收。危化品仓设计需符合《爆炸和火灾危险环境电力装置设计规范》和《爆炸危险场所安全规定》的相关规定。</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val="en-US" w:eastAsia="zh-CN"/>
              </w:rPr>
              <w:t>2）</w:t>
            </w:r>
            <w:r>
              <w:rPr>
                <w:highlight w:val="none"/>
                <w:lang w:eastAsia="zh-CN"/>
              </w:rPr>
              <w:t>贮运工程风险防范措施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①原料不得露天堆放，储存于阴凉通风房间内，远离火种、热源，防止阳光直射，应与易燃或可燃物分开存放，化学品试剂于防渗托盘上，以防止外漏。搬运时轻装轻卸，防止原料桶破损或倾倒。</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②合理规划运输路线及时间，加强危险化学物品运输车辆的管理，严格遵守危险品运输管理规定，避免运输过程事故的发生。</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val="en-US" w:eastAsia="zh-CN"/>
              </w:rPr>
              <w:t>3）</w:t>
            </w:r>
            <w:r>
              <w:rPr>
                <w:highlight w:val="none"/>
                <w:lang w:eastAsia="zh-CN"/>
              </w:rPr>
              <w:t>环境安全管理措施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定期对生产设备以及环保设施进行安全检测，检测内容、时间、人员应有记录保存。定期对操作人员进行安全生产与安全知识培训，并制定严格的安全操作规程，切实加强生产过程中的温度控制，保证劳动安全，防止意外事故的发生</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val="en-US" w:eastAsia="zh-CN"/>
              </w:rPr>
              <w:t>4）</w:t>
            </w:r>
            <w:r>
              <w:rPr>
                <w:highlight w:val="none"/>
                <w:lang w:eastAsia="zh-CN"/>
              </w:rPr>
              <w:t>泄漏后处置措施</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泄漏应急处理：</w:t>
            </w:r>
          </w:p>
          <w:p>
            <w:pPr>
              <w:pStyle w:val="8"/>
              <w:keepNext w:val="0"/>
              <w:keepLines w:val="0"/>
              <w:pageBreakBefore w:val="0"/>
              <w:kinsoku/>
              <w:wordWrap/>
              <w:overflowPunct w:val="0"/>
              <w:topLinePunct w:val="0"/>
              <w:autoSpaceDE w:val="0"/>
              <w:autoSpaceDN w:val="0"/>
              <w:bidi w:val="0"/>
              <w:adjustRightInd w:val="0"/>
              <w:snapToGrid w:val="0"/>
              <w:rPr>
                <w:highlight w:val="none"/>
                <w:lang w:eastAsia="zh-CN"/>
              </w:rPr>
            </w:pPr>
            <w:r>
              <w:rPr>
                <w:rFonts w:hint="eastAsia"/>
                <w:highlight w:val="none"/>
                <w:lang w:eastAsia="zh-CN"/>
              </w:rPr>
              <w:t>①</w:t>
            </w:r>
            <w:r>
              <w:rPr>
                <w:highlight w:val="none"/>
                <w:lang w:eastAsia="zh-CN"/>
              </w:rPr>
              <w:t>第一发现人员及附近生产操作人员穿戴防护服、佩戴防毒面具立即先期处理；</w:t>
            </w:r>
          </w:p>
          <w:p>
            <w:pPr>
              <w:pStyle w:val="8"/>
              <w:keepNext w:val="0"/>
              <w:keepLines w:val="0"/>
              <w:pageBreakBefore w:val="0"/>
              <w:kinsoku/>
              <w:wordWrap/>
              <w:overflowPunct w:val="0"/>
              <w:topLinePunct w:val="0"/>
              <w:autoSpaceDE w:val="0"/>
              <w:autoSpaceDN w:val="0"/>
              <w:bidi w:val="0"/>
              <w:adjustRightInd w:val="0"/>
              <w:snapToGrid w:val="0"/>
              <w:rPr>
                <w:highlight w:val="none"/>
                <w:lang w:eastAsia="zh-CN"/>
              </w:rPr>
            </w:pPr>
            <w:r>
              <w:rPr>
                <w:rFonts w:hint="eastAsia"/>
                <w:highlight w:val="none"/>
                <w:lang w:eastAsia="zh-CN"/>
              </w:rPr>
              <w:t>②</w:t>
            </w:r>
            <w:r>
              <w:rPr>
                <w:highlight w:val="none"/>
                <w:lang w:eastAsia="zh-CN"/>
              </w:rPr>
              <w:t>小量泄漏时：采用密封胶等方式堵漏盛装容器或转移到空桶中；</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③大量泄漏时：利用沙袋等进行围挡拦截，及时堵漏，将桶中未泄漏部分转移至空桶中；</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Style w:val="19"/>
                <w:rFonts w:hint="eastAsia"/>
                <w:highlight w:val="none"/>
                <w:lang w:eastAsia="zh-CN"/>
              </w:rPr>
              <w:t>③</w:t>
            </w:r>
            <w:r>
              <w:rPr>
                <w:rStyle w:val="19"/>
                <w:highlight w:val="none"/>
                <w:lang w:eastAsia="zh-CN"/>
              </w:rPr>
              <w:t>泄漏在</w:t>
            </w:r>
            <w:r>
              <w:rPr>
                <w:highlight w:val="none"/>
                <w:lang w:eastAsia="zh-CN"/>
              </w:rPr>
              <w:t>地面上的物料，利用吸附棉、沙土等吸附地面物料，吸附材料和收集过的物料作为危废处置。泄漏时，应立即切断火源，电器开关保持原来状态，不要开或关；疏散泄漏区和人员安全区，禁止无关人员进入污染区；及时对泄漏的物料进行收集处理；防止泄漏物进入下水道等限制性空间。</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b/>
                <w:bCs/>
                <w:highlight w:val="none"/>
                <w:lang w:eastAsia="zh-CN"/>
              </w:rPr>
              <w:t>七、电磁辐射</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highlight w:val="none"/>
                <w:lang w:eastAsia="zh-CN"/>
              </w:rPr>
              <w:t>本次评价项目不涉及电磁辐射类。</w:t>
            </w:r>
          </w:p>
          <w:p>
            <w:pPr>
              <w:pStyle w:val="8"/>
              <w:keepNext w:val="0"/>
              <w:keepLines w:val="0"/>
              <w:pageBreakBefore w:val="0"/>
              <w:kinsoku/>
              <w:wordWrap/>
              <w:overflowPunct w:val="0"/>
              <w:topLinePunct w:val="0"/>
              <w:autoSpaceDE w:val="0"/>
              <w:autoSpaceDN w:val="0"/>
              <w:bidi w:val="0"/>
              <w:adjustRightInd w:val="0"/>
              <w:snapToGrid w:val="0"/>
              <w:ind w:firstLine="482"/>
              <w:rPr>
                <w:b/>
                <w:bCs/>
                <w:highlight w:val="none"/>
                <w:lang w:eastAsia="zh-CN"/>
              </w:rPr>
            </w:pPr>
            <w:r>
              <w:rPr>
                <w:rFonts w:hint="eastAsia"/>
                <w:b/>
                <w:bCs/>
                <w:highlight w:val="none"/>
                <w:lang w:eastAsia="zh-CN"/>
              </w:rPr>
              <w:t>八、项目环评与排污许可联动内容</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据安徽省生态环境厅于2021年1月30日发布的《安徽省生态环境厅关于统筹做好固定污染源排污许可日常监管工作的通知》（皖环发</w:t>
            </w:r>
            <w:r>
              <w:rPr>
                <w:highlight w:val="none"/>
                <w:lang w:eastAsia="zh-CN"/>
              </w:rPr>
              <w:t>﹝</w:t>
            </w:r>
            <w:r>
              <w:rPr>
                <w:rFonts w:hint="eastAsia"/>
                <w:highlight w:val="none"/>
                <w:lang w:eastAsia="zh-CN"/>
              </w:rPr>
              <w:t>2021</w:t>
            </w:r>
            <w:r>
              <w:rPr>
                <w:highlight w:val="none"/>
                <w:lang w:eastAsia="zh-CN"/>
              </w:rPr>
              <w:t>﹞</w:t>
            </w:r>
            <w:r>
              <w:rPr>
                <w:rFonts w:hint="eastAsia"/>
                <w:highlight w:val="none"/>
                <w:lang w:eastAsia="zh-CN"/>
              </w:rPr>
              <w:t>7号），属于现行《固定污染源排污许可分类管理名录》内重点管理和简化管理的行业，在环评文件中应明确“建设项目环境影响评价与排污许可联动内容”和《建设项目排污许可申请与填发信息表》。</w:t>
            </w:r>
          </w:p>
          <w:p>
            <w:pPr>
              <w:pStyle w:val="8"/>
              <w:keepNext w:val="0"/>
              <w:keepLines w:val="0"/>
              <w:pageBreakBefore w:val="0"/>
              <w:kinsoku/>
              <w:wordWrap/>
              <w:overflowPunct w:val="0"/>
              <w:topLinePunct w:val="0"/>
              <w:autoSpaceDE w:val="0"/>
              <w:autoSpaceDN w:val="0"/>
              <w:bidi w:val="0"/>
              <w:adjustRightInd w:val="0"/>
              <w:snapToGrid w:val="0"/>
              <w:ind w:firstLine="480"/>
              <w:rPr>
                <w:highlight w:val="none"/>
                <w:lang w:eastAsia="zh-CN"/>
              </w:rPr>
            </w:pPr>
            <w:r>
              <w:rPr>
                <w:rFonts w:hint="eastAsia"/>
                <w:highlight w:val="none"/>
                <w:lang w:eastAsia="zh-CN"/>
              </w:rPr>
              <w:t>根据《固定污染源排污许可分类管理名录》（2019年版），马瑞利动力系统(合肥)有限公司年产100万件驻车执行器项目属于“三十一、汽车制造业 85汽车零部件及配件制造367”中的“其他”，属于登记管理，由此判定本项目排污许可分类为登记管理。</w:t>
            </w:r>
            <w:r>
              <w:rPr>
                <w:rFonts w:hint="eastAsia"/>
                <w:highlight w:val="none"/>
                <w:lang w:val="en-US" w:eastAsia="zh-CN"/>
              </w:rPr>
              <w:t>本项目现有排污许可分类为登记</w:t>
            </w:r>
            <w:r>
              <w:rPr>
                <w:rFonts w:hint="eastAsia"/>
                <w:highlight w:val="none"/>
                <w:lang w:eastAsia="zh-CN"/>
              </w:rPr>
              <w:t>管理，</w:t>
            </w:r>
            <w:r>
              <w:rPr>
                <w:rFonts w:hint="eastAsia"/>
                <w:highlight w:val="none"/>
                <w:lang w:val="en-US" w:eastAsia="zh-CN"/>
              </w:rPr>
              <w:t>本项目要求后续</w:t>
            </w:r>
            <w:r>
              <w:rPr>
                <w:rFonts w:hint="eastAsia"/>
                <w:highlight w:val="none"/>
                <w:lang w:eastAsia="zh-CN"/>
              </w:rPr>
              <w:t>变更排污许可</w:t>
            </w:r>
            <w:r>
              <w:rPr>
                <w:rFonts w:hint="eastAsia"/>
                <w:highlight w:val="none"/>
                <w:lang w:val="en-US" w:eastAsia="zh-CN"/>
              </w:rPr>
              <w:t>登记</w:t>
            </w:r>
            <w:r>
              <w:rPr>
                <w:rFonts w:hint="eastAsia"/>
                <w:highlight w:val="none"/>
                <w:lang w:eastAsia="zh-CN"/>
              </w:rPr>
              <w:t>。</w:t>
            </w:r>
          </w:p>
        </w:tc>
      </w:tr>
    </w:tbl>
    <w:p>
      <w:pPr>
        <w:rPr>
          <w:lang w:eastAsia="zh-CN"/>
        </w:rPr>
      </w:pPr>
    </w:p>
    <w:p>
      <w:pPr>
        <w:rPr>
          <w:lang w:eastAsia="zh-CN"/>
        </w:rPr>
        <w:sectPr>
          <w:pgSz w:w="11906" w:h="16838"/>
          <w:pgMar w:top="1701" w:right="1531" w:bottom="1701" w:left="1531" w:header="851" w:footer="992" w:gutter="0"/>
          <w:cols w:space="425" w:num="1"/>
          <w:docGrid w:type="lines" w:linePitch="312" w:charSpace="0"/>
        </w:sectPr>
      </w:pPr>
    </w:p>
    <w:p>
      <w:pPr>
        <w:jc w:val="center"/>
        <w:outlineLvl w:val="0"/>
        <w:rPr>
          <w:b/>
          <w:bCs/>
          <w:sz w:val="30"/>
          <w:szCs w:val="30"/>
          <w:lang w:eastAsia="zh-CN"/>
        </w:rPr>
      </w:pPr>
      <w:r>
        <w:rPr>
          <w:b/>
          <w:bCs/>
          <w:sz w:val="30"/>
          <w:szCs w:val="30"/>
          <w:lang w:eastAsia="zh-CN"/>
        </w:rPr>
        <w:t>五、环境保护措施监督检查清单</w:t>
      </w:r>
    </w:p>
    <w:tbl>
      <w:tblPr>
        <w:tblStyle w:val="21"/>
        <w:tblW w:w="8988" w:type="dxa"/>
        <w:tblInd w:w="7" w:type="dxa"/>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autofit"/>
        <w:tblCellMar>
          <w:top w:w="0" w:type="dxa"/>
          <w:left w:w="0" w:type="dxa"/>
          <w:bottom w:w="0" w:type="dxa"/>
          <w:right w:w="0" w:type="dxa"/>
        </w:tblCellMar>
      </w:tblPr>
      <w:tblGrid>
        <w:gridCol w:w="1098"/>
        <w:gridCol w:w="1600"/>
        <w:gridCol w:w="1267"/>
        <w:gridCol w:w="2317"/>
        <w:gridCol w:w="2706"/>
      </w:tblGrid>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624" w:hRule="atLeast"/>
        </w:trPr>
        <w:tc>
          <w:tcPr>
            <w:tcW w:w="1098" w:type="dxa"/>
            <w:tcBorders>
              <w:top w:val="single" w:color="000000" w:sz="4" w:space="0"/>
              <w:left w:val="single" w:color="000000" w:sz="4" w:space="0"/>
              <w:bottom w:val="single" w:color="000000" w:sz="4" w:space="0"/>
              <w:right w:val="single" w:color="000000" w:sz="4" w:space="0"/>
              <w:tl2br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right"/>
              <w:textAlignment w:val="baseline"/>
              <w:rPr>
                <w:lang w:eastAsia="zh-CN"/>
              </w:rPr>
            </w:pPr>
            <w:r>
              <w:rPr>
                <w:rFonts w:hint="eastAsia"/>
                <w:lang w:eastAsia="zh-CN"/>
              </w:rPr>
              <w:t>内容</w:t>
            </w:r>
          </w:p>
          <w:p>
            <w:pPr>
              <w:pStyle w:val="8"/>
              <w:keepNext w:val="0"/>
              <w:keepLines w:val="0"/>
              <w:pageBreakBefore w:val="0"/>
              <w:kinsoku/>
              <w:wordWrap/>
              <w:overflowPunct w:val="0"/>
              <w:topLinePunct w:val="0"/>
              <w:autoSpaceDE w:val="0"/>
              <w:autoSpaceDN w:val="0"/>
              <w:bidi w:val="0"/>
              <w:adjustRightInd w:val="0"/>
              <w:snapToGrid w:val="0"/>
              <w:ind w:firstLine="0" w:firstLineChars="0"/>
              <w:jc w:val="left"/>
              <w:textAlignment w:val="baseline"/>
              <w:rPr>
                <w:lang w:eastAsia="zh-CN"/>
              </w:rPr>
            </w:pPr>
            <w:r>
              <w:rPr>
                <w:rFonts w:hint="eastAsia"/>
                <w:lang w:eastAsia="zh-CN"/>
              </w:rPr>
              <w:t>要素</w:t>
            </w:r>
          </w:p>
        </w:tc>
        <w:tc>
          <w:tcPr>
            <w:tcW w:w="1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rFonts w:hint="eastAsia"/>
                <w:lang w:eastAsia="zh-CN"/>
              </w:rPr>
              <w:t>排放口（编号、名称）/污染源</w:t>
            </w:r>
          </w:p>
        </w:tc>
        <w:tc>
          <w:tcPr>
            <w:tcW w:w="12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t>污染物项目</w:t>
            </w:r>
          </w:p>
        </w:tc>
        <w:tc>
          <w:tcPr>
            <w:tcW w:w="231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rPr>
                <w:rFonts w:hint="eastAsia"/>
              </w:rPr>
              <w:t>环境保护措施</w:t>
            </w:r>
          </w:p>
        </w:tc>
        <w:tc>
          <w:tcPr>
            <w:tcW w:w="27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rPr>
                <w:rFonts w:hint="eastAsia"/>
              </w:rPr>
              <w:t>执行标准</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652" w:hRule="atLeast"/>
        </w:trPr>
        <w:tc>
          <w:tcPr>
            <w:tcW w:w="1098" w:type="dxa"/>
            <w:vMerge w:val="restart"/>
            <w:tcBorders>
              <w:top w:val="single" w:color="000000" w:sz="4" w:space="0"/>
              <w:left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rFonts w:hint="eastAsia"/>
                <w:lang w:eastAsia="zh-CN"/>
              </w:rPr>
              <w:t>大气环境</w:t>
            </w:r>
          </w:p>
        </w:tc>
        <w:tc>
          <w:tcPr>
            <w:tcW w:w="1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rFonts w:hint="eastAsia"/>
                <w:lang w:eastAsia="zh-CN"/>
              </w:rPr>
              <w:t>焊接烟尘</w:t>
            </w:r>
          </w:p>
        </w:tc>
        <w:tc>
          <w:tcPr>
            <w:tcW w:w="12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rFonts w:hint="eastAsia"/>
                <w:lang w:eastAsia="zh-CN"/>
              </w:rPr>
              <w:t>颗粒物</w:t>
            </w:r>
          </w:p>
        </w:tc>
        <w:tc>
          <w:tcPr>
            <w:tcW w:w="231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lang w:eastAsia="zh-CN"/>
              </w:rPr>
              <w:t>焊接烟尘经自带净化除尘系统处理后</w:t>
            </w:r>
            <w:r>
              <w:rPr>
                <w:rFonts w:hint="eastAsia"/>
                <w:lang w:eastAsia="zh-CN"/>
              </w:rPr>
              <w:t>无组织</w:t>
            </w:r>
            <w:r>
              <w:rPr>
                <w:lang w:eastAsia="zh-CN"/>
              </w:rPr>
              <w:t>排放</w:t>
            </w:r>
          </w:p>
        </w:tc>
        <w:tc>
          <w:tcPr>
            <w:tcW w:w="27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rFonts w:hint="eastAsia"/>
                <w:lang w:eastAsia="zh-CN"/>
              </w:rPr>
              <w:t>《大气污染物综合排放标准》（GB 16297-1996）</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623" w:hRule="atLeast"/>
        </w:trPr>
        <w:tc>
          <w:tcPr>
            <w:tcW w:w="1098" w:type="dxa"/>
            <w:vMerge w:val="continue"/>
            <w:tcBorders>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p>
        </w:tc>
        <w:tc>
          <w:tcPr>
            <w:tcW w:w="1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rFonts w:hint="eastAsia"/>
                <w:lang w:eastAsia="zh-CN"/>
              </w:rPr>
              <w:t>厨房油烟</w:t>
            </w:r>
          </w:p>
        </w:tc>
        <w:tc>
          <w:tcPr>
            <w:tcW w:w="12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rPr>
                <w:rFonts w:hint="eastAsia"/>
              </w:rPr>
              <w:t>油烟废气</w:t>
            </w:r>
          </w:p>
        </w:tc>
        <w:tc>
          <w:tcPr>
            <w:tcW w:w="231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rFonts w:hint="eastAsia"/>
                <w:lang w:eastAsia="zh-CN"/>
              </w:rPr>
              <w:t>厨房油烟经油烟净化系统处理后达标排放</w:t>
            </w:r>
          </w:p>
        </w:tc>
        <w:tc>
          <w:tcPr>
            <w:tcW w:w="27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rFonts w:hint="eastAsia"/>
                <w:lang w:eastAsia="zh-CN"/>
              </w:rPr>
              <w:t>《饮食业油烟排放排放标准》（GB18483-2001）</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768" w:hRule="atLeast"/>
        </w:trPr>
        <w:tc>
          <w:tcPr>
            <w:tcW w:w="10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rPr>
                <w:rFonts w:hint="eastAsia"/>
              </w:rPr>
              <w:t>地表水环境</w:t>
            </w:r>
          </w:p>
        </w:tc>
        <w:tc>
          <w:tcPr>
            <w:tcW w:w="1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rPr>
                <w:rFonts w:hint="eastAsia"/>
              </w:rPr>
              <w:t>DW001</w:t>
            </w:r>
          </w:p>
        </w:tc>
        <w:tc>
          <w:tcPr>
            <w:tcW w:w="12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t>生活污水、</w:t>
            </w:r>
            <w:r>
              <w:rPr>
                <w:rFonts w:hint="eastAsia"/>
                <w:lang w:eastAsia="zh-CN"/>
              </w:rPr>
              <w:t>餐饮</w:t>
            </w:r>
            <w:r>
              <w:t>废水</w:t>
            </w:r>
          </w:p>
        </w:tc>
        <w:tc>
          <w:tcPr>
            <w:tcW w:w="231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t>pH、COD、BOD</w:t>
            </w:r>
            <w:r>
              <w:rPr>
                <w:vertAlign w:val="subscript"/>
              </w:rPr>
              <w:t>5</w:t>
            </w:r>
            <w:r>
              <w:t>、SS、NH</w:t>
            </w:r>
            <w:r>
              <w:rPr>
                <w:vertAlign w:val="subscript"/>
              </w:rPr>
              <w:t>3</w:t>
            </w:r>
            <w:r>
              <w:t>-N、TP</w:t>
            </w:r>
            <w:r>
              <w:rPr>
                <w:rFonts w:hint="eastAsia"/>
                <w:lang w:eastAsia="zh-CN"/>
              </w:rPr>
              <w:t>、</w:t>
            </w:r>
            <w:r>
              <w:t>TN</w:t>
            </w:r>
            <w:r>
              <w:rPr>
                <w:rFonts w:hint="eastAsia"/>
                <w:lang w:eastAsia="zh-CN"/>
              </w:rPr>
              <w:t>、动植物油</w:t>
            </w:r>
          </w:p>
        </w:tc>
        <w:tc>
          <w:tcPr>
            <w:tcW w:w="27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rFonts w:hint="eastAsia"/>
                <w:lang w:eastAsia="zh-CN"/>
              </w:rPr>
              <w:t>合肥西部组团污水处理厂接管要求</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085" w:hRule="atLeast"/>
        </w:trPr>
        <w:tc>
          <w:tcPr>
            <w:tcW w:w="10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t>声环境</w:t>
            </w:r>
          </w:p>
        </w:tc>
        <w:tc>
          <w:tcPr>
            <w:tcW w:w="1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t>生产设备</w:t>
            </w:r>
          </w:p>
        </w:tc>
        <w:tc>
          <w:tcPr>
            <w:tcW w:w="12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t>Leq(A)</w:t>
            </w:r>
          </w:p>
        </w:tc>
        <w:tc>
          <w:tcPr>
            <w:tcW w:w="2317"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lang w:eastAsia="zh-CN"/>
              </w:rPr>
              <w:t>采取合理布局、选用低噪声设备，采取减震降噪、消声等措施</w:t>
            </w:r>
          </w:p>
        </w:tc>
        <w:tc>
          <w:tcPr>
            <w:tcW w:w="27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rPr>
                <w:lang w:eastAsia="zh-CN"/>
              </w:rPr>
            </w:pPr>
            <w:r>
              <w:rPr>
                <w:lang w:eastAsia="zh-CN"/>
              </w:rPr>
              <w:t>《工业企业厂界环境噪声排放标准》（GB12348-2008）中3类标准，即昼间≤65dB（A）、夜间≤55dB（A）</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351" w:hRule="atLeast"/>
        </w:trPr>
        <w:tc>
          <w:tcPr>
            <w:tcW w:w="10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t>电磁辐射</w:t>
            </w:r>
          </w:p>
        </w:tc>
        <w:tc>
          <w:tcPr>
            <w:tcW w:w="789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t>不涉及</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578" w:hRule="atLeast"/>
        </w:trPr>
        <w:tc>
          <w:tcPr>
            <w:tcW w:w="10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0" w:firstLineChars="0"/>
              <w:jc w:val="center"/>
              <w:textAlignment w:val="baseline"/>
            </w:pPr>
            <w:r>
              <w:t>固体废物</w:t>
            </w:r>
          </w:p>
        </w:tc>
        <w:tc>
          <w:tcPr>
            <w:tcW w:w="789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①边角料及不合格品、废包装等一般工业固体废物交由物资单位回收</w:t>
            </w:r>
            <w:r>
              <w:rPr>
                <w:rFonts w:hint="eastAsia"/>
                <w:lang w:eastAsia="zh-CN"/>
              </w:rPr>
              <w:t>，</w:t>
            </w:r>
            <w:r>
              <w:rPr>
                <w:lang w:eastAsia="zh-CN"/>
              </w:rPr>
              <w:t>除尘滤纸由环卫工人统一清运；</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②</w:t>
            </w:r>
            <w:r>
              <w:rPr>
                <w:highlight w:val="none"/>
                <w:lang w:eastAsia="zh-CN"/>
              </w:rPr>
              <w:t>废</w:t>
            </w:r>
            <w:r>
              <w:rPr>
                <w:highlight w:val="none"/>
              </w:rPr>
              <w:t>润滑油</w:t>
            </w:r>
            <w:r>
              <w:rPr>
                <w:rFonts w:hint="eastAsia"/>
                <w:highlight w:val="none"/>
                <w:lang w:eastAsia="zh-CN"/>
              </w:rPr>
              <w:t>、</w:t>
            </w:r>
            <w:r>
              <w:rPr>
                <w:highlight w:val="none"/>
                <w:lang w:eastAsia="zh-CN"/>
              </w:rPr>
              <w:t>废</w:t>
            </w:r>
            <w:r>
              <w:rPr>
                <w:highlight w:val="none"/>
              </w:rPr>
              <w:t>润滑油桶及润滑</w:t>
            </w:r>
            <w:r>
              <w:rPr>
                <w:rFonts w:hint="eastAsia"/>
                <w:highlight w:val="none"/>
                <w:lang w:val="en-US" w:eastAsia="zh-CN"/>
              </w:rPr>
              <w:t>脂</w:t>
            </w:r>
            <w:r>
              <w:rPr>
                <w:highlight w:val="none"/>
              </w:rPr>
              <w:t>桶</w:t>
            </w:r>
            <w:bookmarkStart w:id="3" w:name="_GoBack"/>
            <w:bookmarkEnd w:id="3"/>
            <w:r>
              <w:rPr>
                <w:lang w:eastAsia="zh-CN"/>
              </w:rPr>
              <w:t>等危险废物委托有资质单位处理；</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③生活垃圾委托环卫部门清运处理</w:t>
            </w:r>
            <w:r>
              <w:rPr>
                <w:rFonts w:hint="eastAsia"/>
                <w:lang w:eastAsia="zh-CN"/>
              </w:rPr>
              <w:t>，餐饮垃圾和废油脂由资源单位收集处置</w:t>
            </w:r>
            <w:r>
              <w:rPr>
                <w:lang w:eastAsia="zh-CN"/>
              </w:rPr>
              <w:t>。</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612" w:hRule="atLeast"/>
        </w:trPr>
        <w:tc>
          <w:tcPr>
            <w:tcW w:w="10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kinsoku/>
              <w:wordWrap/>
              <w:overflowPunct w:val="0"/>
              <w:topLinePunct w:val="0"/>
              <w:autoSpaceDE w:val="0"/>
              <w:autoSpaceDN w:val="0"/>
              <w:bidi w:val="0"/>
              <w:adjustRightInd w:val="0"/>
              <w:snapToGrid w:val="0"/>
              <w:jc w:val="center"/>
              <w:textAlignment w:val="baseline"/>
            </w:pPr>
            <w:r>
              <w:t>土壤及地下水污染防治措施</w:t>
            </w:r>
          </w:p>
        </w:tc>
        <w:tc>
          <w:tcPr>
            <w:tcW w:w="7890" w:type="dxa"/>
            <w:gridSpan w:val="4"/>
            <w:tcBorders>
              <w:top w:val="single" w:color="000000" w:sz="4" w:space="0"/>
              <w:left w:val="single" w:color="000000" w:sz="4" w:space="0"/>
              <w:bottom w:val="single" w:color="000000" w:sz="4" w:space="0"/>
              <w:right w:val="single" w:color="000000" w:sz="4" w:space="0"/>
            </w:tcBorders>
            <w:shd w:val="clear" w:color="auto" w:fill="FFFFFF"/>
          </w:tcPr>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分区防渗措施，从源头控制，防止对项目所在地土壤、地下水污染：</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①项目</w:t>
            </w:r>
            <w:r>
              <w:rPr>
                <w:rFonts w:hint="eastAsia"/>
                <w:lang w:eastAsia="zh-CN"/>
              </w:rPr>
              <w:t>依托的化学品库、危废间已</w:t>
            </w:r>
            <w:r>
              <w:rPr>
                <w:lang w:eastAsia="zh-CN"/>
              </w:rPr>
              <w:t>按照重点防渗区进行防渗处理；根据建设项目实际情况，在车间混凝土地面基础上，采取涂刷至少2mm防腐防渗涂料（渗透系数≤10</w:t>
            </w:r>
            <w:r>
              <w:rPr>
                <w:vertAlign w:val="superscript"/>
                <w:lang w:eastAsia="zh-CN"/>
              </w:rPr>
              <w:t>-10</w:t>
            </w:r>
            <w:r>
              <w:rPr>
                <w:lang w:eastAsia="zh-CN"/>
              </w:rPr>
              <w:t>cm/s），并设置专用防腐防渗HDPE托盘，离地高度≥20cm，托盘容量满足泄漏物盛装要求，保证泄漏液体全部收集；</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②项目生产区的其他地区按照一般防渗区进行防渗处理；根据建设项目实际情况，在混凝土地面基础上，采取水泥地面（等效黏土防渗层厚度≥1.5m ，渗透系数≤10</w:t>
            </w:r>
            <w:r>
              <w:rPr>
                <w:vertAlign w:val="superscript"/>
                <w:lang w:eastAsia="zh-CN"/>
              </w:rPr>
              <w:t>-7</w:t>
            </w:r>
            <w:r>
              <w:rPr>
                <w:lang w:eastAsia="zh-CN"/>
              </w:rPr>
              <w:t>cm/s）。</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612" w:hRule="atLeast"/>
        </w:trPr>
        <w:tc>
          <w:tcPr>
            <w:tcW w:w="10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kinsoku/>
              <w:wordWrap/>
              <w:overflowPunct w:val="0"/>
              <w:topLinePunct w:val="0"/>
              <w:autoSpaceDE w:val="0"/>
              <w:autoSpaceDN w:val="0"/>
              <w:bidi w:val="0"/>
              <w:adjustRightInd w:val="0"/>
              <w:snapToGrid w:val="0"/>
              <w:jc w:val="center"/>
              <w:textAlignment w:val="baseline"/>
            </w:pPr>
            <w:r>
              <w:t>生态保护措施</w:t>
            </w:r>
          </w:p>
        </w:tc>
        <w:tc>
          <w:tcPr>
            <w:tcW w:w="789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kinsoku/>
              <w:wordWrap/>
              <w:overflowPunct w:val="0"/>
              <w:topLinePunct w:val="0"/>
              <w:autoSpaceDE w:val="0"/>
              <w:autoSpaceDN w:val="0"/>
              <w:bidi w:val="0"/>
              <w:adjustRightInd w:val="0"/>
              <w:snapToGrid w:val="0"/>
              <w:jc w:val="center"/>
              <w:textAlignment w:val="baseline"/>
            </w:pPr>
            <w:r>
              <w:t>不涉及</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612" w:hRule="atLeast"/>
        </w:trPr>
        <w:tc>
          <w:tcPr>
            <w:tcW w:w="10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kinsoku/>
              <w:wordWrap/>
              <w:overflowPunct w:val="0"/>
              <w:topLinePunct w:val="0"/>
              <w:autoSpaceDE w:val="0"/>
              <w:autoSpaceDN w:val="0"/>
              <w:bidi w:val="0"/>
              <w:adjustRightInd w:val="0"/>
              <w:snapToGrid w:val="0"/>
              <w:textAlignment w:val="baseline"/>
            </w:pPr>
            <w:r>
              <w:t>环境风险防范措施</w:t>
            </w:r>
          </w:p>
        </w:tc>
        <w:tc>
          <w:tcPr>
            <w:tcW w:w="7890" w:type="dxa"/>
            <w:gridSpan w:val="4"/>
            <w:tcBorders>
              <w:top w:val="single" w:color="000000" w:sz="4" w:space="0"/>
              <w:left w:val="single" w:color="000000" w:sz="4" w:space="0"/>
              <w:bottom w:val="single" w:color="000000" w:sz="4" w:space="0"/>
              <w:right w:val="single" w:color="000000" w:sz="4" w:space="0"/>
            </w:tcBorders>
            <w:shd w:val="clear" w:color="auto" w:fill="FFFFFF"/>
          </w:tcPr>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①发生爆炸事故后，及时疏散员工，从污染源上控制其对大气的污染，应急救援后产生的废物委托有资质的单位处理。</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rFonts w:hint="eastAsia"/>
                <w:lang w:eastAsia="zh-CN"/>
              </w:rPr>
              <w:t>②发生火灾时，应及时采取相应的灭火措施并疏散厂内员工，及时疏散周围的居民。</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rFonts w:hint="eastAsia"/>
                <w:lang w:eastAsia="zh-CN"/>
              </w:rPr>
              <w:t>③事故发生时，救援人员必须佩戴理性的防毒过滤面具，同时穿好工作服，迅速判明事故当时的风向，可利用风标、旗帜等辨明风向，向上风向撤离，尽可能向侧、逆风向转移。</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spacing w:val="-1"/>
                <w:lang w:eastAsia="zh-CN"/>
              </w:rPr>
            </w:pPr>
            <w:r>
              <w:rPr>
                <w:rFonts w:hint="eastAsia"/>
                <w:lang w:eastAsia="zh-CN"/>
              </w:rPr>
              <w:t>④事故发生后，相关部门要制定污染监测计划，对可能污染进行监测，根据现场监测结果，确定被转移、疏散群众返回时间，直至无异常方可停止监测工作。</w:t>
            </w:r>
          </w:p>
        </w:tc>
      </w:tr>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612" w:hRule="atLeast"/>
        </w:trPr>
        <w:tc>
          <w:tcPr>
            <w:tcW w:w="10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kinsoku/>
              <w:wordWrap/>
              <w:overflowPunct w:val="0"/>
              <w:topLinePunct w:val="0"/>
              <w:autoSpaceDE w:val="0"/>
              <w:autoSpaceDN w:val="0"/>
              <w:bidi w:val="0"/>
              <w:adjustRightInd w:val="0"/>
              <w:snapToGrid w:val="0"/>
              <w:jc w:val="center"/>
              <w:textAlignment w:val="baseline"/>
            </w:pPr>
            <w:r>
              <w:t>其他环境管理要求</w:t>
            </w:r>
          </w:p>
        </w:tc>
        <w:tc>
          <w:tcPr>
            <w:tcW w:w="7890" w:type="dxa"/>
            <w:gridSpan w:val="4"/>
            <w:tcBorders>
              <w:top w:val="single" w:color="000000" w:sz="4" w:space="0"/>
              <w:left w:val="single" w:color="000000" w:sz="4" w:space="0"/>
              <w:bottom w:val="single" w:color="000000" w:sz="4" w:space="0"/>
              <w:right w:val="single" w:color="000000" w:sz="4" w:space="0"/>
            </w:tcBorders>
            <w:shd w:val="clear" w:color="auto" w:fill="FFFFFF"/>
          </w:tcPr>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1</w:t>
            </w:r>
            <w:r>
              <w:rPr>
                <w:rFonts w:hint="eastAsia"/>
                <w:lang w:eastAsia="zh-CN"/>
              </w:rPr>
              <w:t>、</w:t>
            </w:r>
            <w:r>
              <w:rPr>
                <w:lang w:eastAsia="zh-CN"/>
              </w:rPr>
              <w:t>排污口规范化设置</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排污口规范化整治，必须按照原国家环境保护总局发布的《环境保护图形标志－排放口（源）》（GB15562 1-1995）、《环境保护图形标志固体废物贮存（处置）场》（GB15562.2-1995）及2023修改单、《排放口标志牌技术规格》、《排污口规范化整治试点工作验收标准》（环监〔1996〕470号）等规范规定的标准，认真组织实施排放口规范化整治工作，统一标志牌、统一内容、统一尺寸、统一编号，实现一个口、一支段、一装置、一标志、一档案的五个标准。</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①废气排放口</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本项目</w:t>
            </w:r>
            <w:r>
              <w:rPr>
                <w:rFonts w:hint="eastAsia"/>
                <w:lang w:eastAsia="zh-CN"/>
              </w:rPr>
              <w:t>不涉及</w:t>
            </w:r>
            <w:r>
              <w:rPr>
                <w:lang w:eastAsia="zh-CN"/>
              </w:rPr>
              <w:t>废气排气筒。</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②废水排放口</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本项目厂区已设置一个污水总排污口和雨水排放口，废水采样口（半径大于150mm）需规范设置，定期对水质及流量进行监测，保证厂区生产期间做到废水达标排放，减轻项目产生的废水对附近地表水的污染负荷。</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③固定噪声源</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lang w:eastAsia="zh-CN"/>
              </w:rPr>
              <w:t>根据不同噪声源情况，可采取减振降噪，吸声处理降噪、隔声处理降噪等措施，使其达到功能区标准要求。在固定噪声源厂界噪声敏</w:t>
            </w:r>
            <w:r>
              <w:rPr>
                <w:rFonts w:hint="eastAsia"/>
                <w:lang w:eastAsia="zh-CN"/>
              </w:rPr>
              <w:t>感、且对外界影响最大处设置该噪声源的监测点，并在该处附近醒目处设置环境保护图形标志牌；边界上有若干个在声环境中相对独立的固定噪声污染源扰民处，应分别设置环境噪声监测点和环境保护图形标志牌。</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rFonts w:hint="eastAsia"/>
                <w:lang w:eastAsia="zh-CN"/>
              </w:rPr>
              <w:t>④固体废物临时暂存场</w:t>
            </w:r>
          </w:p>
          <w:p>
            <w:pPr>
              <w:pStyle w:val="8"/>
              <w:keepNext w:val="0"/>
              <w:keepLines w:val="0"/>
              <w:pageBreakBefore w:val="0"/>
              <w:kinsoku/>
              <w:wordWrap/>
              <w:overflowPunct w:val="0"/>
              <w:topLinePunct w:val="0"/>
              <w:autoSpaceDE w:val="0"/>
              <w:autoSpaceDN w:val="0"/>
              <w:bidi w:val="0"/>
              <w:adjustRightInd w:val="0"/>
              <w:snapToGrid w:val="0"/>
              <w:ind w:firstLine="480"/>
              <w:textAlignment w:val="baseline"/>
              <w:rPr>
                <w:lang w:eastAsia="zh-CN"/>
              </w:rPr>
            </w:pPr>
            <w:r>
              <w:rPr>
                <w:rFonts w:hint="eastAsia"/>
                <w:lang w:eastAsia="zh-CN"/>
              </w:rPr>
              <w:t>对于一般固体废物应设置专用贮存、堆放场地。对于有毒有害固体废物等危险废物，应设置专用堆放场所，并必须采取防扬散，防流失，防渗漏等防治措施，不对环境造成二次污染，并设置醒目的标志牌。</w:t>
            </w:r>
          </w:p>
          <w:p>
            <w:pPr>
              <w:pStyle w:val="18"/>
              <w:keepNext w:val="0"/>
              <w:keepLines w:val="0"/>
              <w:pageBreakBefore w:val="0"/>
              <w:kinsoku/>
              <w:wordWrap/>
              <w:overflowPunct w:val="0"/>
              <w:topLinePunct w:val="0"/>
              <w:autoSpaceDE w:val="0"/>
              <w:autoSpaceDN w:val="0"/>
              <w:bidi w:val="0"/>
              <w:adjustRightInd w:val="0"/>
              <w:snapToGrid w:val="0"/>
              <w:textAlignment w:val="baseline"/>
            </w:pPr>
            <w:r>
              <w:t>表 5-1  环保图形标志</w:t>
            </w:r>
          </w:p>
          <w:tbl>
            <w:tblPr>
              <w:tblStyle w:val="21"/>
              <w:tblW w:w="7154" w:type="dxa"/>
              <w:tblInd w:w="10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28"/>
              <w:gridCol w:w="1491"/>
              <w:gridCol w:w="1362"/>
              <w:gridCol w:w="1345"/>
              <w:gridCol w:w="232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4" w:hRule="atLeast"/>
              </w:trPr>
              <w:tc>
                <w:tcPr>
                  <w:tcW w:w="6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序号</w:t>
                  </w:r>
                </w:p>
              </w:tc>
              <w:tc>
                <w:tcPr>
                  <w:tcW w:w="149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提示图形符号</w:t>
                  </w:r>
                </w:p>
              </w:tc>
              <w:tc>
                <w:tcPr>
                  <w:tcW w:w="136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警示图形符号</w:t>
                  </w:r>
                </w:p>
              </w:tc>
              <w:tc>
                <w:tcPr>
                  <w:tcW w:w="134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名称</w:t>
                  </w:r>
                </w:p>
              </w:tc>
              <w:tc>
                <w:tcPr>
                  <w:tcW w:w="23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功能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0" w:hRule="atLeast"/>
              </w:trPr>
              <w:tc>
                <w:tcPr>
                  <w:tcW w:w="6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1</w:t>
                  </w:r>
                </w:p>
              </w:tc>
              <w:tc>
                <w:tcPr>
                  <w:tcW w:w="149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drawing>
                      <wp:inline distT="0" distB="0" distL="0" distR="0">
                        <wp:extent cx="866775" cy="675640"/>
                        <wp:effectExtent l="0" t="0" r="9525" b="1016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33"/>
                                <a:stretch>
                                  <a:fillRect/>
                                </a:stretch>
                              </pic:blipFill>
                              <pic:spPr>
                                <a:xfrm>
                                  <a:off x="0" y="0"/>
                                  <a:ext cx="867156" cy="676147"/>
                                </a:xfrm>
                                <a:prstGeom prst="rect">
                                  <a:avLst/>
                                </a:prstGeom>
                              </pic:spPr>
                            </pic:pic>
                          </a:graphicData>
                        </a:graphic>
                      </wp:inline>
                    </w:drawing>
                  </w:r>
                </w:p>
              </w:tc>
              <w:tc>
                <w:tcPr>
                  <w:tcW w:w="136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drawing>
                      <wp:inline distT="0" distB="0" distL="0" distR="0">
                        <wp:extent cx="741680" cy="675640"/>
                        <wp:effectExtent l="0" t="0" r="1270" b="10160"/>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34"/>
                                <a:stretch>
                                  <a:fillRect/>
                                </a:stretch>
                              </pic:blipFill>
                              <pic:spPr>
                                <a:xfrm>
                                  <a:off x="0" y="0"/>
                                  <a:ext cx="742188" cy="676147"/>
                                </a:xfrm>
                                <a:prstGeom prst="rect">
                                  <a:avLst/>
                                </a:prstGeom>
                              </pic:spPr>
                            </pic:pic>
                          </a:graphicData>
                        </a:graphic>
                      </wp:inline>
                    </w:drawing>
                  </w:r>
                </w:p>
              </w:tc>
              <w:tc>
                <w:tcPr>
                  <w:tcW w:w="134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污水排放口</w:t>
                  </w:r>
                </w:p>
              </w:tc>
              <w:tc>
                <w:tcPr>
                  <w:tcW w:w="23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表示污水向水体排放</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00" w:hRule="atLeast"/>
              </w:trPr>
              <w:tc>
                <w:tcPr>
                  <w:tcW w:w="6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2</w:t>
                  </w:r>
                </w:p>
              </w:tc>
              <w:tc>
                <w:tcPr>
                  <w:tcW w:w="149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drawing>
                      <wp:inline distT="0" distB="0" distL="0" distR="0">
                        <wp:extent cx="875665" cy="619760"/>
                        <wp:effectExtent l="0" t="0" r="635" b="889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35"/>
                                <a:stretch>
                                  <a:fillRect/>
                                </a:stretch>
                              </pic:blipFill>
                              <pic:spPr>
                                <a:xfrm>
                                  <a:off x="0" y="0"/>
                                  <a:ext cx="876299" cy="620267"/>
                                </a:xfrm>
                                <a:prstGeom prst="rect">
                                  <a:avLst/>
                                </a:prstGeom>
                              </pic:spPr>
                            </pic:pic>
                          </a:graphicData>
                        </a:graphic>
                      </wp:inline>
                    </w:drawing>
                  </w:r>
                </w:p>
              </w:tc>
              <w:tc>
                <w:tcPr>
                  <w:tcW w:w="136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drawing>
                      <wp:inline distT="0" distB="0" distL="0" distR="0">
                        <wp:extent cx="743585" cy="619760"/>
                        <wp:effectExtent l="0" t="0" r="18415" b="8890"/>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36"/>
                                <a:stretch>
                                  <a:fillRect/>
                                </a:stretch>
                              </pic:blipFill>
                              <pic:spPr>
                                <a:xfrm>
                                  <a:off x="0" y="0"/>
                                  <a:ext cx="743711" cy="620267"/>
                                </a:xfrm>
                                <a:prstGeom prst="rect">
                                  <a:avLst/>
                                </a:prstGeom>
                              </pic:spPr>
                            </pic:pic>
                          </a:graphicData>
                        </a:graphic>
                      </wp:inline>
                    </w:drawing>
                  </w:r>
                </w:p>
              </w:tc>
              <w:tc>
                <w:tcPr>
                  <w:tcW w:w="134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废气排放口</w:t>
                  </w:r>
                </w:p>
              </w:tc>
              <w:tc>
                <w:tcPr>
                  <w:tcW w:w="23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表示废气向大气环境排</w:t>
                  </w:r>
                </w:p>
                <w:p>
                  <w:pPr>
                    <w:pStyle w:val="17"/>
                    <w:keepNext w:val="0"/>
                    <w:keepLines w:val="0"/>
                    <w:pageBreakBefore w:val="0"/>
                    <w:kinsoku/>
                    <w:wordWrap/>
                    <w:overflowPunct w:val="0"/>
                    <w:topLinePunct w:val="0"/>
                    <w:autoSpaceDE w:val="0"/>
                    <w:autoSpaceDN w:val="0"/>
                    <w:bidi w:val="0"/>
                    <w:adjustRightInd w:val="0"/>
                    <w:snapToGrid w:val="0"/>
                    <w:textAlignment w:val="baseline"/>
                  </w:pPr>
                  <w:r>
                    <w:t>放</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76" w:hRule="atLeast"/>
              </w:trPr>
              <w:tc>
                <w:tcPr>
                  <w:tcW w:w="6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3</w:t>
                  </w:r>
                </w:p>
              </w:tc>
              <w:tc>
                <w:tcPr>
                  <w:tcW w:w="149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drawing>
                      <wp:inline distT="0" distB="0" distL="0" distR="0">
                        <wp:extent cx="875665" cy="665480"/>
                        <wp:effectExtent l="0" t="0" r="635" b="127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37"/>
                                <a:stretch>
                                  <a:fillRect/>
                                </a:stretch>
                              </pic:blipFill>
                              <pic:spPr>
                                <a:xfrm>
                                  <a:off x="0" y="0"/>
                                  <a:ext cx="876299" cy="665988"/>
                                </a:xfrm>
                                <a:prstGeom prst="rect">
                                  <a:avLst/>
                                </a:prstGeom>
                              </pic:spPr>
                            </pic:pic>
                          </a:graphicData>
                        </a:graphic>
                      </wp:inline>
                    </w:drawing>
                  </w:r>
                </w:p>
              </w:tc>
              <w:tc>
                <w:tcPr>
                  <w:tcW w:w="136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drawing>
                      <wp:inline distT="0" distB="0" distL="0" distR="0">
                        <wp:extent cx="772160" cy="667385"/>
                        <wp:effectExtent l="0" t="0" r="8890" b="18415"/>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38"/>
                                <a:stretch>
                                  <a:fillRect/>
                                </a:stretch>
                              </pic:blipFill>
                              <pic:spPr>
                                <a:xfrm>
                                  <a:off x="0" y="0"/>
                                  <a:ext cx="772667" cy="667511"/>
                                </a:xfrm>
                                <a:prstGeom prst="rect">
                                  <a:avLst/>
                                </a:prstGeom>
                              </pic:spPr>
                            </pic:pic>
                          </a:graphicData>
                        </a:graphic>
                      </wp:inline>
                    </w:drawing>
                  </w:r>
                </w:p>
              </w:tc>
              <w:tc>
                <w:tcPr>
                  <w:tcW w:w="134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噪声排放源</w:t>
                  </w:r>
                </w:p>
              </w:tc>
              <w:tc>
                <w:tcPr>
                  <w:tcW w:w="23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表示噪声向外环境排放</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12" w:hRule="atLeast"/>
              </w:trPr>
              <w:tc>
                <w:tcPr>
                  <w:tcW w:w="6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4</w:t>
                  </w:r>
                </w:p>
              </w:tc>
              <w:tc>
                <w:tcPr>
                  <w:tcW w:w="149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drawing>
                      <wp:inline distT="0" distB="0" distL="0" distR="0">
                        <wp:extent cx="837565" cy="685800"/>
                        <wp:effectExtent l="0" t="0" r="635" b="0"/>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39"/>
                                <a:stretch>
                                  <a:fillRect/>
                                </a:stretch>
                              </pic:blipFill>
                              <pic:spPr>
                                <a:xfrm>
                                  <a:off x="0" y="0"/>
                                  <a:ext cx="838199" cy="685800"/>
                                </a:xfrm>
                                <a:prstGeom prst="rect">
                                  <a:avLst/>
                                </a:prstGeom>
                              </pic:spPr>
                            </pic:pic>
                          </a:graphicData>
                        </a:graphic>
                      </wp:inline>
                    </w:drawing>
                  </w:r>
                </w:p>
              </w:tc>
              <w:tc>
                <w:tcPr>
                  <w:tcW w:w="136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drawing>
                      <wp:inline distT="0" distB="0" distL="0" distR="0">
                        <wp:extent cx="795020" cy="690245"/>
                        <wp:effectExtent l="0" t="0" r="5080" b="14605"/>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40"/>
                                <a:stretch>
                                  <a:fillRect/>
                                </a:stretch>
                              </pic:blipFill>
                              <pic:spPr>
                                <a:xfrm>
                                  <a:off x="0" y="0"/>
                                  <a:ext cx="795654" cy="690371"/>
                                </a:xfrm>
                                <a:prstGeom prst="rect">
                                  <a:avLst/>
                                </a:prstGeom>
                              </pic:spPr>
                            </pic:pic>
                          </a:graphicData>
                        </a:graphic>
                      </wp:inline>
                    </w:drawing>
                  </w:r>
                </w:p>
              </w:tc>
              <w:tc>
                <w:tcPr>
                  <w:tcW w:w="134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一般固体废物标识</w:t>
                  </w:r>
                </w:p>
              </w:tc>
              <w:tc>
                <w:tcPr>
                  <w:tcW w:w="23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一般固体废物贮存、处</w:t>
                  </w:r>
                </w:p>
                <w:p>
                  <w:pPr>
                    <w:pStyle w:val="17"/>
                    <w:keepNext w:val="0"/>
                    <w:keepLines w:val="0"/>
                    <w:pageBreakBefore w:val="0"/>
                    <w:kinsoku/>
                    <w:wordWrap/>
                    <w:overflowPunct w:val="0"/>
                    <w:topLinePunct w:val="0"/>
                    <w:autoSpaceDE w:val="0"/>
                    <w:autoSpaceDN w:val="0"/>
                    <w:bidi w:val="0"/>
                    <w:adjustRightInd w:val="0"/>
                    <w:snapToGrid w:val="0"/>
                    <w:textAlignment w:val="baseline"/>
                  </w:pPr>
                  <w:r>
                    <w:t>置场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88" w:hRule="atLeast"/>
              </w:trPr>
              <w:tc>
                <w:tcPr>
                  <w:tcW w:w="6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5</w:t>
                  </w:r>
                </w:p>
              </w:tc>
              <w:tc>
                <w:tcPr>
                  <w:tcW w:w="1491"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w:t>
                  </w:r>
                </w:p>
              </w:tc>
              <w:tc>
                <w:tcPr>
                  <w:tcW w:w="1362"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drawing>
                      <wp:inline distT="0" distB="0" distL="0" distR="0">
                        <wp:extent cx="795020" cy="798195"/>
                        <wp:effectExtent l="0" t="0" r="5080" b="1905"/>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41"/>
                                <a:stretch>
                                  <a:fillRect/>
                                </a:stretch>
                              </pic:blipFill>
                              <pic:spPr>
                                <a:xfrm>
                                  <a:off x="0" y="0"/>
                                  <a:ext cx="795654" cy="798576"/>
                                </a:xfrm>
                                <a:prstGeom prst="rect">
                                  <a:avLst/>
                                </a:prstGeom>
                              </pic:spPr>
                            </pic:pic>
                          </a:graphicData>
                        </a:graphic>
                      </wp:inline>
                    </w:drawing>
                  </w:r>
                </w:p>
              </w:tc>
              <w:tc>
                <w:tcPr>
                  <w:tcW w:w="1345"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危险固体废</w:t>
                  </w:r>
                </w:p>
                <w:p>
                  <w:pPr>
                    <w:pStyle w:val="17"/>
                    <w:keepNext w:val="0"/>
                    <w:keepLines w:val="0"/>
                    <w:pageBreakBefore w:val="0"/>
                    <w:kinsoku/>
                    <w:wordWrap/>
                    <w:overflowPunct w:val="0"/>
                    <w:topLinePunct w:val="0"/>
                    <w:autoSpaceDE w:val="0"/>
                    <w:autoSpaceDN w:val="0"/>
                    <w:bidi w:val="0"/>
                    <w:adjustRightInd w:val="0"/>
                    <w:snapToGrid w:val="0"/>
                    <w:textAlignment w:val="baseline"/>
                  </w:pPr>
                  <w:r>
                    <w:t>物标识</w:t>
                  </w:r>
                </w:p>
              </w:tc>
              <w:tc>
                <w:tcPr>
                  <w:tcW w:w="2328" w:type="dxa"/>
                  <w:vAlign w:val="center"/>
                </w:tcPr>
                <w:p>
                  <w:pPr>
                    <w:pStyle w:val="17"/>
                    <w:keepNext w:val="0"/>
                    <w:keepLines w:val="0"/>
                    <w:pageBreakBefore w:val="0"/>
                    <w:kinsoku/>
                    <w:wordWrap/>
                    <w:overflowPunct w:val="0"/>
                    <w:topLinePunct w:val="0"/>
                    <w:autoSpaceDE w:val="0"/>
                    <w:autoSpaceDN w:val="0"/>
                    <w:bidi w:val="0"/>
                    <w:adjustRightInd w:val="0"/>
                    <w:snapToGrid w:val="0"/>
                    <w:textAlignment w:val="baseline"/>
                  </w:pPr>
                  <w:r>
                    <w:t>危险固体废物贮存、处</w:t>
                  </w:r>
                </w:p>
                <w:p>
                  <w:pPr>
                    <w:pStyle w:val="17"/>
                    <w:keepNext w:val="0"/>
                    <w:keepLines w:val="0"/>
                    <w:pageBreakBefore w:val="0"/>
                    <w:kinsoku/>
                    <w:wordWrap/>
                    <w:overflowPunct w:val="0"/>
                    <w:topLinePunct w:val="0"/>
                    <w:autoSpaceDE w:val="0"/>
                    <w:autoSpaceDN w:val="0"/>
                    <w:bidi w:val="0"/>
                    <w:adjustRightInd w:val="0"/>
                    <w:snapToGrid w:val="0"/>
                    <w:textAlignment w:val="baseline"/>
                  </w:pPr>
                  <w:r>
                    <w:t>置场</w:t>
                  </w:r>
                </w:p>
              </w:tc>
            </w:tr>
          </w:tbl>
          <w:p>
            <w:pPr>
              <w:pStyle w:val="20"/>
              <w:keepNext w:val="0"/>
              <w:keepLines w:val="0"/>
              <w:pageBreakBefore w:val="0"/>
              <w:kinsoku/>
              <w:wordWrap/>
              <w:overflowPunct w:val="0"/>
              <w:topLinePunct w:val="0"/>
              <w:autoSpaceDE w:val="0"/>
              <w:autoSpaceDN w:val="0"/>
              <w:bidi w:val="0"/>
              <w:adjustRightInd w:val="0"/>
              <w:snapToGrid w:val="0"/>
              <w:spacing w:before="187" w:line="350" w:lineRule="auto"/>
              <w:ind w:left="112" w:right="101" w:firstLine="477"/>
              <w:textAlignment w:val="baseline"/>
              <w:rPr>
                <w:rFonts w:hint="eastAsia"/>
                <w:spacing w:val="-2"/>
                <w:lang w:eastAsia="zh-CN"/>
              </w:rPr>
            </w:pPr>
          </w:p>
          <w:p>
            <w:pPr>
              <w:pStyle w:val="20"/>
              <w:keepNext w:val="0"/>
              <w:keepLines w:val="0"/>
              <w:pageBreakBefore w:val="0"/>
              <w:kinsoku/>
              <w:wordWrap/>
              <w:overflowPunct w:val="0"/>
              <w:topLinePunct w:val="0"/>
              <w:autoSpaceDE w:val="0"/>
              <w:autoSpaceDN w:val="0"/>
              <w:bidi w:val="0"/>
              <w:adjustRightInd w:val="0"/>
              <w:snapToGrid w:val="0"/>
              <w:spacing w:before="187" w:line="350" w:lineRule="auto"/>
              <w:ind w:left="112" w:right="101" w:firstLine="477"/>
              <w:textAlignment w:val="baseline"/>
              <w:rPr>
                <w:rFonts w:hint="eastAsia"/>
                <w:spacing w:val="-2"/>
                <w:lang w:eastAsia="zh-CN"/>
              </w:rPr>
            </w:pPr>
          </w:p>
        </w:tc>
      </w:tr>
    </w:tbl>
    <w:p>
      <w:pPr>
        <w:rPr>
          <w:lang w:eastAsia="zh-CN"/>
        </w:rPr>
      </w:pPr>
    </w:p>
    <w:p>
      <w:pPr>
        <w:rPr>
          <w:lang w:eastAsia="zh-CN"/>
        </w:rPr>
      </w:pPr>
      <w:r>
        <w:rPr>
          <w:rFonts w:hint="eastAsia"/>
          <w:lang w:eastAsia="zh-CN"/>
        </w:rPr>
        <w:br w:type="page"/>
      </w:r>
    </w:p>
    <w:p>
      <w:pPr>
        <w:jc w:val="center"/>
        <w:outlineLvl w:val="0"/>
        <w:rPr>
          <w:b/>
          <w:bCs/>
          <w:sz w:val="30"/>
          <w:szCs w:val="30"/>
        </w:rPr>
      </w:pPr>
      <w:r>
        <w:rPr>
          <w:b/>
          <w:bCs/>
          <w:sz w:val="30"/>
          <w:szCs w:val="30"/>
        </w:rPr>
        <w:t>六、结论</w:t>
      </w:r>
    </w:p>
    <w:tbl>
      <w:tblPr>
        <w:tblStyle w:val="21"/>
        <w:tblW w:w="8988" w:type="dxa"/>
        <w:tblInd w:w="7" w:type="dxa"/>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Layout w:type="autofit"/>
        <w:tblCellMar>
          <w:top w:w="0" w:type="dxa"/>
          <w:left w:w="0" w:type="dxa"/>
          <w:bottom w:w="0" w:type="dxa"/>
          <w:right w:w="0" w:type="dxa"/>
        </w:tblCellMar>
      </w:tblPr>
      <w:tblGrid>
        <w:gridCol w:w="8988"/>
      </w:tblGrid>
      <w:tr>
        <w:tblPrEx>
          <w:tblBorders>
            <w:top w:val="single" w:color="auto" w:sz="4" w:space="0"/>
            <w:left w:val="single" w:color="auto" w:sz="4" w:space="0"/>
            <w:bottom w:val="single" w:color="auto" w:sz="4" w:space="0"/>
            <w:right w:val="single" w:color="auto" w:sz="4" w:space="0"/>
            <w:insideH w:val="single" w:color="000000" w:sz="6" w:space="0"/>
            <w:insideV w:val="single" w:color="000000" w:sz="6" w:space="0"/>
          </w:tblBorders>
          <w:tblCellMar>
            <w:top w:w="0" w:type="dxa"/>
            <w:left w:w="0" w:type="dxa"/>
            <w:bottom w:w="0" w:type="dxa"/>
            <w:right w:w="0" w:type="dxa"/>
          </w:tblCellMar>
        </w:tblPrEx>
        <w:trPr>
          <w:trHeight w:val="12262" w:hRule="atLeast"/>
        </w:trPr>
        <w:tc>
          <w:tcPr>
            <w:tcW w:w="89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pStyle w:val="8"/>
              <w:ind w:firstLine="472"/>
              <w:rPr>
                <w:lang w:eastAsia="zh-CN"/>
              </w:rPr>
            </w:pPr>
            <w:r>
              <w:rPr>
                <w:spacing w:val="-2"/>
                <w:lang w:eastAsia="zh-CN"/>
              </w:rPr>
              <w:t>本项目建设符合国家相关产业政策和相关规划要求，选址符合用地要求。</w:t>
            </w:r>
            <w:r>
              <w:rPr>
                <w:rFonts w:hint="eastAsia"/>
                <w:spacing w:val="-2"/>
                <w:lang w:eastAsia="zh-CN"/>
              </w:rPr>
              <w:t>项目产生的污染物经本环评提出措施处理后均可实现达标排放，项目实施后不会对地表水、环境空气、声环境和生态环境产生明显影响，符合“达标排放、清洁生产、总量控制”的原则。因此，本评价认为，只要认真落实本报告中提出的各项污染防治措施，保证环境保护措施的有效运行，确保污染物稳定达标排放。</w:t>
            </w:r>
            <w:r>
              <w:rPr>
                <w:spacing w:val="-1"/>
                <w:lang w:eastAsia="zh-CN"/>
              </w:rPr>
              <w:t>从环境影响角度分析，本项目的建设是可行的。</w:t>
            </w:r>
          </w:p>
        </w:tc>
      </w:tr>
    </w:tbl>
    <w:p>
      <w:pPr>
        <w:rPr>
          <w:lang w:eastAsia="zh-CN"/>
        </w:rPr>
        <w:sectPr>
          <w:pgSz w:w="11906" w:h="16838"/>
          <w:pgMar w:top="1701" w:right="1531" w:bottom="1701" w:left="1531" w:header="851" w:footer="992" w:gutter="0"/>
          <w:cols w:space="425" w:num="1"/>
          <w:docGrid w:type="lines" w:linePitch="312" w:charSpace="0"/>
        </w:sectPr>
      </w:pPr>
    </w:p>
    <w:p>
      <w:pPr>
        <w:spacing w:before="91" w:line="219" w:lineRule="auto"/>
        <w:ind w:left="367"/>
        <w:rPr>
          <w:rFonts w:hint="eastAsia" w:ascii="宋体" w:hAnsi="宋体"/>
          <w:sz w:val="28"/>
          <w:szCs w:val="28"/>
          <w:lang w:eastAsia="zh-CN"/>
        </w:rPr>
      </w:pPr>
      <w:r>
        <w:rPr>
          <w:rFonts w:ascii="宋体" w:hAnsi="宋体"/>
          <w:b/>
          <w:bCs/>
          <w:spacing w:val="-19"/>
          <w:sz w:val="28"/>
          <w:szCs w:val="28"/>
          <w:lang w:eastAsia="zh-CN"/>
        </w:rPr>
        <w:t>附表</w:t>
      </w:r>
    </w:p>
    <w:p>
      <w:pPr>
        <w:spacing w:before="26" w:line="212" w:lineRule="auto"/>
        <w:ind w:left="5758"/>
        <w:rPr>
          <w:rFonts w:hint="eastAsia" w:ascii="宋体" w:hAnsi="宋体"/>
          <w:color w:val="auto"/>
          <w:lang w:eastAsia="zh-CN"/>
        </w:rPr>
      </w:pPr>
      <w:r>
        <w:rPr>
          <w:rFonts w:ascii="宋体" w:hAnsi="宋体"/>
          <w:b/>
          <w:bCs/>
          <w:color w:val="auto"/>
          <w:spacing w:val="-3"/>
          <w:lang w:eastAsia="zh-CN"/>
        </w:rPr>
        <w:t>建设项目污染物排放量汇总表</w:t>
      </w:r>
    </w:p>
    <w:tbl>
      <w:tblPr>
        <w:tblStyle w:val="21"/>
        <w:tblW w:w="14237" w:type="dxa"/>
        <w:tblInd w:w="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49"/>
        <w:gridCol w:w="2329"/>
        <w:gridCol w:w="1663"/>
        <w:gridCol w:w="1105"/>
        <w:gridCol w:w="1717"/>
        <w:gridCol w:w="1574"/>
        <w:gridCol w:w="1407"/>
        <w:gridCol w:w="1756"/>
        <w:gridCol w:w="143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2" w:hRule="atLeast"/>
        </w:trPr>
        <w:tc>
          <w:tcPr>
            <w:tcW w:w="1249" w:type="dxa"/>
            <w:tcBorders>
              <w:tl2br w:val="single" w:color="000000" w:sz="4" w:space="0"/>
            </w:tcBorders>
            <w:vAlign w:val="center"/>
          </w:tcPr>
          <w:p>
            <w:pPr>
              <w:pStyle w:val="17"/>
            </w:pPr>
            <w:r>
              <w:t>项目分类</w:t>
            </w:r>
          </w:p>
        </w:tc>
        <w:tc>
          <w:tcPr>
            <w:tcW w:w="2329" w:type="dxa"/>
            <w:vAlign w:val="center"/>
          </w:tcPr>
          <w:p>
            <w:pPr>
              <w:pStyle w:val="17"/>
            </w:pPr>
            <w:r>
              <w:t>污染物名称</w:t>
            </w:r>
          </w:p>
        </w:tc>
        <w:tc>
          <w:tcPr>
            <w:tcW w:w="1663" w:type="dxa"/>
            <w:vAlign w:val="center"/>
          </w:tcPr>
          <w:p>
            <w:pPr>
              <w:pStyle w:val="17"/>
            </w:pPr>
            <w:r>
              <w:t>现有工程排放量（固体废物产生量）①</w:t>
            </w:r>
          </w:p>
        </w:tc>
        <w:tc>
          <w:tcPr>
            <w:tcW w:w="1105" w:type="dxa"/>
            <w:vAlign w:val="center"/>
          </w:tcPr>
          <w:p>
            <w:pPr>
              <w:pStyle w:val="17"/>
            </w:pPr>
            <w:r>
              <w:t>现有工程许可排放量②</w:t>
            </w:r>
          </w:p>
        </w:tc>
        <w:tc>
          <w:tcPr>
            <w:tcW w:w="1717" w:type="dxa"/>
            <w:vAlign w:val="center"/>
          </w:tcPr>
          <w:p>
            <w:pPr>
              <w:pStyle w:val="17"/>
            </w:pPr>
            <w:r>
              <w:t>在建工程排放量（固体废物产生量）③</w:t>
            </w:r>
          </w:p>
        </w:tc>
        <w:tc>
          <w:tcPr>
            <w:tcW w:w="1574" w:type="dxa"/>
            <w:vAlign w:val="center"/>
          </w:tcPr>
          <w:p>
            <w:pPr>
              <w:pStyle w:val="17"/>
            </w:pPr>
            <w:r>
              <w:t>本项目排放量（固体废物产生量）④</w:t>
            </w:r>
          </w:p>
        </w:tc>
        <w:tc>
          <w:tcPr>
            <w:tcW w:w="1407" w:type="dxa"/>
            <w:vAlign w:val="center"/>
          </w:tcPr>
          <w:p>
            <w:pPr>
              <w:pStyle w:val="17"/>
            </w:pPr>
            <w:r>
              <w:t>以新带老削减量（新建项目不</w:t>
            </w:r>
          </w:p>
          <w:p>
            <w:pPr>
              <w:pStyle w:val="17"/>
            </w:pPr>
            <w:r>
              <w:t>填）⑤</w:t>
            </w:r>
          </w:p>
        </w:tc>
        <w:tc>
          <w:tcPr>
            <w:tcW w:w="1756" w:type="dxa"/>
            <w:vAlign w:val="center"/>
          </w:tcPr>
          <w:p>
            <w:pPr>
              <w:pStyle w:val="17"/>
            </w:pPr>
            <w:r>
              <w:t>本项目建成后全厂排放量（固体废物产生量）⑥</w:t>
            </w:r>
          </w:p>
        </w:tc>
        <w:tc>
          <w:tcPr>
            <w:tcW w:w="1437" w:type="dxa"/>
            <w:vAlign w:val="center"/>
          </w:tcPr>
          <w:p>
            <w:pPr>
              <w:pStyle w:val="17"/>
            </w:pPr>
            <w:r>
              <w:t>变化量⑦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1249" w:type="dxa"/>
            <w:vAlign w:val="center"/>
          </w:tcPr>
          <w:p>
            <w:pPr>
              <w:pStyle w:val="17"/>
            </w:pPr>
            <w:r>
              <w:rPr>
                <w:rFonts w:hint="eastAsia"/>
              </w:rPr>
              <w:t>废气</w:t>
            </w:r>
          </w:p>
        </w:tc>
        <w:tc>
          <w:tcPr>
            <w:tcW w:w="2329" w:type="dxa"/>
            <w:vAlign w:val="center"/>
          </w:tcPr>
          <w:p>
            <w:pPr>
              <w:pStyle w:val="17"/>
            </w:pPr>
            <w:r>
              <w:t>非甲烷总烃</w:t>
            </w:r>
          </w:p>
        </w:tc>
        <w:tc>
          <w:tcPr>
            <w:tcW w:w="1663" w:type="dxa"/>
            <w:vAlign w:val="center"/>
          </w:tcPr>
          <w:p>
            <w:pPr>
              <w:pStyle w:val="17"/>
              <w:rPr>
                <w:lang w:eastAsia="en-US"/>
              </w:rPr>
            </w:pPr>
            <w:r>
              <w:rPr>
                <w:color w:val="auto"/>
              </w:rPr>
              <w:t>0.</w:t>
            </w:r>
            <w:r>
              <w:rPr>
                <w:rFonts w:hint="eastAsia"/>
                <w:color w:val="auto"/>
                <w:lang w:val="en-US" w:eastAsia="zh-CN"/>
              </w:rPr>
              <w:t>124</w:t>
            </w:r>
            <w:r>
              <w:rPr>
                <w:color w:val="auto"/>
              </w:rPr>
              <w:t>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rPr>
                <w:rFonts w:hint="eastAsia"/>
              </w:rPr>
              <w:t>0.</w:t>
            </w:r>
            <w:r>
              <w:rPr>
                <w:rFonts w:hint="eastAsia"/>
                <w:lang w:val="en-US" w:eastAsia="zh-CN"/>
              </w:rPr>
              <w:t>124</w:t>
            </w:r>
            <w:r>
              <w:t>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3" w:hRule="atLeast"/>
        </w:trPr>
        <w:tc>
          <w:tcPr>
            <w:tcW w:w="1249" w:type="dxa"/>
            <w:vMerge w:val="restart"/>
            <w:vAlign w:val="center"/>
          </w:tcPr>
          <w:p>
            <w:pPr>
              <w:pStyle w:val="17"/>
            </w:pPr>
            <w:r>
              <w:t>废水</w:t>
            </w:r>
          </w:p>
        </w:tc>
        <w:tc>
          <w:tcPr>
            <w:tcW w:w="2329" w:type="dxa"/>
            <w:vAlign w:val="center"/>
          </w:tcPr>
          <w:p>
            <w:pPr>
              <w:pStyle w:val="17"/>
            </w:pPr>
            <w:r>
              <w:t>COD</w:t>
            </w:r>
          </w:p>
        </w:tc>
        <w:tc>
          <w:tcPr>
            <w:tcW w:w="1663" w:type="dxa"/>
            <w:vAlign w:val="center"/>
          </w:tcPr>
          <w:p>
            <w:pPr>
              <w:pStyle w:val="17"/>
              <w:rPr>
                <w:highlight w:val="none"/>
                <w:lang w:eastAsia="en-US"/>
              </w:rPr>
            </w:pPr>
            <w:r>
              <w:rPr>
                <w:highlight w:val="none"/>
              </w:rPr>
              <w:t>0.</w:t>
            </w:r>
            <w:r>
              <w:rPr>
                <w:rFonts w:hint="eastAsia"/>
                <w:highlight w:val="none"/>
                <w:lang w:val="en-US" w:eastAsia="zh-CN"/>
              </w:rPr>
              <w:t>5516</w:t>
            </w:r>
            <w:r>
              <w:rPr>
                <w:highlight w:val="none"/>
              </w:rPr>
              <w:t>t/a</w:t>
            </w:r>
          </w:p>
        </w:tc>
        <w:tc>
          <w:tcPr>
            <w:tcW w:w="1105" w:type="dxa"/>
            <w:vAlign w:val="center"/>
          </w:tcPr>
          <w:p>
            <w:pPr>
              <w:pStyle w:val="17"/>
              <w:rPr>
                <w:highlight w:val="none"/>
              </w:rPr>
            </w:pPr>
            <w:r>
              <w:rPr>
                <w:highlight w:val="none"/>
              </w:rPr>
              <w:t>/</w:t>
            </w:r>
          </w:p>
        </w:tc>
        <w:tc>
          <w:tcPr>
            <w:tcW w:w="1717" w:type="dxa"/>
            <w:vAlign w:val="center"/>
          </w:tcPr>
          <w:p>
            <w:pPr>
              <w:pStyle w:val="17"/>
              <w:rPr>
                <w:highlight w:val="none"/>
              </w:rPr>
            </w:pPr>
            <w:r>
              <w:rPr>
                <w:highlight w:val="none"/>
              </w:rPr>
              <w:t>/</w:t>
            </w:r>
          </w:p>
        </w:tc>
        <w:tc>
          <w:tcPr>
            <w:tcW w:w="1574" w:type="dxa"/>
            <w:vAlign w:val="center"/>
          </w:tcPr>
          <w:p>
            <w:pPr>
              <w:pStyle w:val="17"/>
              <w:rPr>
                <w:highlight w:val="none"/>
              </w:rPr>
            </w:pPr>
            <w:r>
              <w:rPr>
                <w:rFonts w:hint="eastAsia"/>
                <w:highlight w:val="none"/>
              </w:rPr>
              <w:t>0.</w:t>
            </w:r>
            <w:r>
              <w:rPr>
                <w:rFonts w:hint="eastAsia"/>
                <w:highlight w:val="none"/>
                <w:lang w:val="en-US" w:eastAsia="zh-CN"/>
              </w:rPr>
              <w:t>0250</w:t>
            </w:r>
            <w:r>
              <w:rPr>
                <w:highlight w:val="none"/>
              </w:rPr>
              <w:t>t/a</w:t>
            </w:r>
          </w:p>
        </w:tc>
        <w:tc>
          <w:tcPr>
            <w:tcW w:w="1407" w:type="dxa"/>
            <w:vAlign w:val="center"/>
          </w:tcPr>
          <w:p>
            <w:pPr>
              <w:pStyle w:val="17"/>
              <w:rPr>
                <w:highlight w:val="none"/>
              </w:rPr>
            </w:pPr>
            <w:r>
              <w:rPr>
                <w:highlight w:val="none"/>
              </w:rPr>
              <w:t>/</w:t>
            </w:r>
          </w:p>
        </w:tc>
        <w:tc>
          <w:tcPr>
            <w:tcW w:w="1756" w:type="dxa"/>
            <w:vAlign w:val="center"/>
          </w:tcPr>
          <w:p>
            <w:pPr>
              <w:pStyle w:val="17"/>
              <w:rPr>
                <w:highlight w:val="none"/>
              </w:rPr>
            </w:pPr>
            <w:r>
              <w:rPr>
                <w:rFonts w:hint="eastAsia"/>
                <w:highlight w:val="none"/>
              </w:rPr>
              <w:t>0.</w:t>
            </w:r>
            <w:r>
              <w:rPr>
                <w:rFonts w:hint="eastAsia"/>
                <w:highlight w:val="none"/>
                <w:lang w:val="en-US" w:eastAsia="zh-CN"/>
              </w:rPr>
              <w:t>5766</w:t>
            </w:r>
            <w:r>
              <w:rPr>
                <w:highlight w:val="none"/>
              </w:rPr>
              <w:t>t/a</w:t>
            </w:r>
          </w:p>
        </w:tc>
        <w:tc>
          <w:tcPr>
            <w:tcW w:w="1437" w:type="dxa"/>
            <w:vAlign w:val="center"/>
          </w:tcPr>
          <w:p>
            <w:pPr>
              <w:pStyle w:val="17"/>
              <w:ind w:firstLine="0" w:firstLineChars="0"/>
              <w:rPr>
                <w:highlight w:val="none"/>
              </w:rPr>
            </w:pPr>
            <w:r>
              <w:rPr>
                <w:rFonts w:hint="eastAsia"/>
                <w:highlight w:val="none"/>
              </w:rPr>
              <w:t>0.</w:t>
            </w:r>
            <w:r>
              <w:rPr>
                <w:rFonts w:hint="eastAsia"/>
                <w:highlight w:val="none"/>
                <w:lang w:val="en-US" w:eastAsia="zh-CN"/>
              </w:rPr>
              <w:t>0250</w:t>
            </w:r>
            <w:r>
              <w:rPr>
                <w:highlight w:val="none"/>
              </w:rP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249" w:type="dxa"/>
            <w:vMerge w:val="continue"/>
            <w:vAlign w:val="center"/>
          </w:tcPr>
          <w:p>
            <w:pPr>
              <w:pStyle w:val="17"/>
            </w:pPr>
          </w:p>
        </w:tc>
        <w:tc>
          <w:tcPr>
            <w:tcW w:w="2329" w:type="dxa"/>
            <w:vAlign w:val="center"/>
          </w:tcPr>
          <w:p>
            <w:pPr>
              <w:pStyle w:val="17"/>
            </w:pPr>
            <w:r>
              <w:t>BOD</w:t>
            </w:r>
            <w:r>
              <w:rPr>
                <w:vertAlign w:val="subscript"/>
              </w:rPr>
              <w:t>5</w:t>
            </w:r>
          </w:p>
        </w:tc>
        <w:tc>
          <w:tcPr>
            <w:tcW w:w="1663" w:type="dxa"/>
            <w:vAlign w:val="center"/>
          </w:tcPr>
          <w:p>
            <w:pPr>
              <w:pStyle w:val="17"/>
              <w:rPr>
                <w:highlight w:val="none"/>
                <w:lang w:eastAsia="en-US"/>
              </w:rPr>
            </w:pPr>
            <w:r>
              <w:rPr>
                <w:highlight w:val="none"/>
              </w:rPr>
              <w:t>0.1</w:t>
            </w:r>
            <w:r>
              <w:rPr>
                <w:rFonts w:hint="eastAsia"/>
                <w:highlight w:val="none"/>
                <w:lang w:val="en-US" w:eastAsia="zh-CN"/>
              </w:rPr>
              <w:t>379</w:t>
            </w:r>
            <w:r>
              <w:rPr>
                <w:highlight w:val="none"/>
              </w:rPr>
              <w:t>t/a</w:t>
            </w:r>
          </w:p>
        </w:tc>
        <w:tc>
          <w:tcPr>
            <w:tcW w:w="1105" w:type="dxa"/>
            <w:vAlign w:val="center"/>
          </w:tcPr>
          <w:p>
            <w:pPr>
              <w:pStyle w:val="17"/>
              <w:rPr>
                <w:highlight w:val="none"/>
              </w:rPr>
            </w:pPr>
            <w:r>
              <w:rPr>
                <w:highlight w:val="none"/>
              </w:rPr>
              <w:t>/</w:t>
            </w:r>
          </w:p>
        </w:tc>
        <w:tc>
          <w:tcPr>
            <w:tcW w:w="1717" w:type="dxa"/>
            <w:vAlign w:val="center"/>
          </w:tcPr>
          <w:p>
            <w:pPr>
              <w:pStyle w:val="17"/>
              <w:rPr>
                <w:highlight w:val="none"/>
              </w:rPr>
            </w:pPr>
            <w:r>
              <w:rPr>
                <w:highlight w:val="none"/>
              </w:rPr>
              <w:t>/</w:t>
            </w:r>
          </w:p>
        </w:tc>
        <w:tc>
          <w:tcPr>
            <w:tcW w:w="1574" w:type="dxa"/>
            <w:vAlign w:val="center"/>
          </w:tcPr>
          <w:p>
            <w:pPr>
              <w:pStyle w:val="17"/>
              <w:rPr>
                <w:highlight w:val="none"/>
              </w:rPr>
            </w:pPr>
            <w:r>
              <w:rPr>
                <w:rFonts w:hint="eastAsia"/>
                <w:highlight w:val="none"/>
              </w:rPr>
              <w:t>0.0</w:t>
            </w:r>
            <w:r>
              <w:rPr>
                <w:rFonts w:hint="eastAsia"/>
                <w:highlight w:val="none"/>
                <w:lang w:val="en-US" w:eastAsia="zh-CN"/>
              </w:rPr>
              <w:t>063</w:t>
            </w:r>
            <w:r>
              <w:rPr>
                <w:highlight w:val="none"/>
              </w:rPr>
              <w:t>t/a</w:t>
            </w:r>
          </w:p>
        </w:tc>
        <w:tc>
          <w:tcPr>
            <w:tcW w:w="1407" w:type="dxa"/>
            <w:vAlign w:val="center"/>
          </w:tcPr>
          <w:p>
            <w:pPr>
              <w:pStyle w:val="17"/>
              <w:rPr>
                <w:highlight w:val="none"/>
              </w:rPr>
            </w:pPr>
            <w:r>
              <w:rPr>
                <w:highlight w:val="none"/>
              </w:rPr>
              <w:t>/</w:t>
            </w:r>
          </w:p>
        </w:tc>
        <w:tc>
          <w:tcPr>
            <w:tcW w:w="1756" w:type="dxa"/>
            <w:vAlign w:val="center"/>
          </w:tcPr>
          <w:p>
            <w:pPr>
              <w:pStyle w:val="17"/>
              <w:rPr>
                <w:highlight w:val="none"/>
              </w:rPr>
            </w:pPr>
            <w:r>
              <w:rPr>
                <w:rFonts w:hint="eastAsia"/>
                <w:highlight w:val="none"/>
              </w:rPr>
              <w:t>0.</w:t>
            </w:r>
            <w:r>
              <w:rPr>
                <w:rFonts w:hint="eastAsia"/>
                <w:highlight w:val="none"/>
                <w:lang w:val="en-US" w:eastAsia="zh-CN"/>
              </w:rPr>
              <w:t>1442</w:t>
            </w:r>
            <w:r>
              <w:rPr>
                <w:highlight w:val="none"/>
              </w:rPr>
              <w:t>t/a</w:t>
            </w:r>
          </w:p>
        </w:tc>
        <w:tc>
          <w:tcPr>
            <w:tcW w:w="1437" w:type="dxa"/>
            <w:vAlign w:val="center"/>
          </w:tcPr>
          <w:p>
            <w:pPr>
              <w:pStyle w:val="17"/>
              <w:ind w:firstLine="0" w:firstLineChars="0"/>
              <w:rPr>
                <w:highlight w:val="none"/>
              </w:rPr>
            </w:pPr>
            <w:r>
              <w:rPr>
                <w:rFonts w:hint="eastAsia"/>
                <w:highlight w:val="none"/>
              </w:rPr>
              <w:t>0.0</w:t>
            </w:r>
            <w:r>
              <w:rPr>
                <w:rFonts w:hint="eastAsia"/>
                <w:highlight w:val="none"/>
                <w:lang w:val="en-US" w:eastAsia="zh-CN"/>
              </w:rPr>
              <w:t>063</w:t>
            </w:r>
            <w:r>
              <w:rPr>
                <w:highlight w:val="none"/>
              </w:rP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1249" w:type="dxa"/>
            <w:vMerge w:val="continue"/>
            <w:vAlign w:val="center"/>
          </w:tcPr>
          <w:p>
            <w:pPr>
              <w:pStyle w:val="17"/>
            </w:pPr>
          </w:p>
        </w:tc>
        <w:tc>
          <w:tcPr>
            <w:tcW w:w="2329" w:type="dxa"/>
            <w:vAlign w:val="center"/>
          </w:tcPr>
          <w:p>
            <w:pPr>
              <w:pStyle w:val="17"/>
            </w:pPr>
            <w:r>
              <w:t>SS</w:t>
            </w:r>
          </w:p>
        </w:tc>
        <w:tc>
          <w:tcPr>
            <w:tcW w:w="1663" w:type="dxa"/>
            <w:vAlign w:val="center"/>
          </w:tcPr>
          <w:p>
            <w:pPr>
              <w:pStyle w:val="17"/>
              <w:rPr>
                <w:highlight w:val="none"/>
                <w:lang w:eastAsia="en-US"/>
              </w:rPr>
            </w:pPr>
            <w:r>
              <w:rPr>
                <w:highlight w:val="none"/>
              </w:rPr>
              <w:t>0.1</w:t>
            </w:r>
            <w:r>
              <w:rPr>
                <w:rFonts w:hint="eastAsia"/>
                <w:highlight w:val="none"/>
                <w:lang w:val="en-US" w:eastAsia="zh-CN"/>
              </w:rPr>
              <w:t>379</w:t>
            </w:r>
            <w:r>
              <w:rPr>
                <w:highlight w:val="none"/>
              </w:rPr>
              <w:t>t/a</w:t>
            </w:r>
          </w:p>
        </w:tc>
        <w:tc>
          <w:tcPr>
            <w:tcW w:w="1105" w:type="dxa"/>
            <w:vAlign w:val="center"/>
          </w:tcPr>
          <w:p>
            <w:pPr>
              <w:pStyle w:val="17"/>
              <w:rPr>
                <w:highlight w:val="none"/>
              </w:rPr>
            </w:pPr>
            <w:r>
              <w:rPr>
                <w:highlight w:val="none"/>
              </w:rPr>
              <w:t>/</w:t>
            </w:r>
          </w:p>
        </w:tc>
        <w:tc>
          <w:tcPr>
            <w:tcW w:w="1717" w:type="dxa"/>
            <w:vAlign w:val="center"/>
          </w:tcPr>
          <w:p>
            <w:pPr>
              <w:pStyle w:val="17"/>
              <w:rPr>
                <w:highlight w:val="none"/>
              </w:rPr>
            </w:pPr>
            <w:r>
              <w:rPr>
                <w:highlight w:val="none"/>
              </w:rPr>
              <w:t>/</w:t>
            </w:r>
          </w:p>
        </w:tc>
        <w:tc>
          <w:tcPr>
            <w:tcW w:w="1574" w:type="dxa"/>
            <w:vAlign w:val="center"/>
          </w:tcPr>
          <w:p>
            <w:pPr>
              <w:pStyle w:val="17"/>
              <w:rPr>
                <w:highlight w:val="none"/>
              </w:rPr>
            </w:pPr>
            <w:r>
              <w:rPr>
                <w:rFonts w:hint="eastAsia"/>
                <w:highlight w:val="none"/>
              </w:rPr>
              <w:t>0.0</w:t>
            </w:r>
            <w:r>
              <w:rPr>
                <w:rFonts w:hint="eastAsia"/>
                <w:highlight w:val="none"/>
                <w:lang w:val="en-US" w:eastAsia="zh-CN"/>
              </w:rPr>
              <w:t>063</w:t>
            </w:r>
            <w:r>
              <w:rPr>
                <w:highlight w:val="none"/>
              </w:rPr>
              <w:t>t/a</w:t>
            </w:r>
          </w:p>
        </w:tc>
        <w:tc>
          <w:tcPr>
            <w:tcW w:w="1407" w:type="dxa"/>
            <w:vAlign w:val="center"/>
          </w:tcPr>
          <w:p>
            <w:pPr>
              <w:pStyle w:val="17"/>
              <w:rPr>
                <w:highlight w:val="none"/>
              </w:rPr>
            </w:pPr>
            <w:r>
              <w:rPr>
                <w:highlight w:val="none"/>
              </w:rPr>
              <w:t>/</w:t>
            </w:r>
          </w:p>
        </w:tc>
        <w:tc>
          <w:tcPr>
            <w:tcW w:w="1756" w:type="dxa"/>
            <w:vAlign w:val="center"/>
          </w:tcPr>
          <w:p>
            <w:pPr>
              <w:pStyle w:val="17"/>
              <w:rPr>
                <w:highlight w:val="none"/>
              </w:rPr>
            </w:pPr>
            <w:r>
              <w:rPr>
                <w:rFonts w:hint="eastAsia"/>
                <w:highlight w:val="none"/>
              </w:rPr>
              <w:t>0.</w:t>
            </w:r>
            <w:r>
              <w:rPr>
                <w:rFonts w:hint="eastAsia"/>
                <w:highlight w:val="none"/>
                <w:lang w:val="en-US" w:eastAsia="zh-CN"/>
              </w:rPr>
              <w:t>1442</w:t>
            </w:r>
            <w:r>
              <w:rPr>
                <w:highlight w:val="none"/>
              </w:rPr>
              <w:t>t/a</w:t>
            </w:r>
          </w:p>
        </w:tc>
        <w:tc>
          <w:tcPr>
            <w:tcW w:w="1437" w:type="dxa"/>
            <w:vAlign w:val="center"/>
          </w:tcPr>
          <w:p>
            <w:pPr>
              <w:pStyle w:val="17"/>
              <w:ind w:firstLine="0" w:firstLineChars="0"/>
              <w:rPr>
                <w:highlight w:val="none"/>
              </w:rPr>
            </w:pPr>
            <w:r>
              <w:rPr>
                <w:rFonts w:hint="eastAsia"/>
                <w:highlight w:val="none"/>
              </w:rPr>
              <w:t>0.0</w:t>
            </w:r>
            <w:r>
              <w:rPr>
                <w:rFonts w:hint="eastAsia"/>
                <w:highlight w:val="none"/>
                <w:lang w:val="en-US" w:eastAsia="zh-CN"/>
              </w:rPr>
              <w:t>063</w:t>
            </w:r>
            <w:r>
              <w:rPr>
                <w:highlight w:val="none"/>
              </w:rP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7" w:hRule="atLeast"/>
        </w:trPr>
        <w:tc>
          <w:tcPr>
            <w:tcW w:w="1249" w:type="dxa"/>
            <w:vMerge w:val="continue"/>
            <w:vAlign w:val="center"/>
          </w:tcPr>
          <w:p>
            <w:pPr>
              <w:pStyle w:val="17"/>
            </w:pPr>
          </w:p>
        </w:tc>
        <w:tc>
          <w:tcPr>
            <w:tcW w:w="2329" w:type="dxa"/>
            <w:vAlign w:val="center"/>
          </w:tcPr>
          <w:p>
            <w:pPr>
              <w:pStyle w:val="17"/>
            </w:pPr>
            <w:r>
              <w:t>NH</w:t>
            </w:r>
            <w:r>
              <w:rPr>
                <w:vertAlign w:val="subscript"/>
              </w:rPr>
              <w:t>3</w:t>
            </w:r>
            <w:r>
              <w:t>-N</w:t>
            </w:r>
          </w:p>
        </w:tc>
        <w:tc>
          <w:tcPr>
            <w:tcW w:w="1663" w:type="dxa"/>
            <w:vAlign w:val="center"/>
          </w:tcPr>
          <w:p>
            <w:pPr>
              <w:pStyle w:val="17"/>
              <w:rPr>
                <w:highlight w:val="none"/>
                <w:lang w:eastAsia="en-US"/>
              </w:rPr>
            </w:pPr>
            <w:r>
              <w:rPr>
                <w:highlight w:val="none"/>
              </w:rPr>
              <w:t>0.0</w:t>
            </w:r>
            <w:r>
              <w:rPr>
                <w:rFonts w:hint="eastAsia"/>
                <w:highlight w:val="none"/>
                <w:lang w:val="en-US" w:eastAsia="zh-CN"/>
              </w:rPr>
              <w:t>276</w:t>
            </w:r>
            <w:r>
              <w:rPr>
                <w:highlight w:val="none"/>
              </w:rPr>
              <w:t>t/a</w:t>
            </w:r>
          </w:p>
        </w:tc>
        <w:tc>
          <w:tcPr>
            <w:tcW w:w="1105" w:type="dxa"/>
            <w:vAlign w:val="center"/>
          </w:tcPr>
          <w:p>
            <w:pPr>
              <w:pStyle w:val="17"/>
              <w:rPr>
                <w:highlight w:val="none"/>
              </w:rPr>
            </w:pPr>
            <w:r>
              <w:rPr>
                <w:highlight w:val="none"/>
              </w:rPr>
              <w:t>/</w:t>
            </w:r>
          </w:p>
        </w:tc>
        <w:tc>
          <w:tcPr>
            <w:tcW w:w="1717" w:type="dxa"/>
            <w:vAlign w:val="center"/>
          </w:tcPr>
          <w:p>
            <w:pPr>
              <w:pStyle w:val="17"/>
              <w:rPr>
                <w:highlight w:val="none"/>
              </w:rPr>
            </w:pPr>
            <w:r>
              <w:rPr>
                <w:highlight w:val="none"/>
              </w:rPr>
              <w:t>/</w:t>
            </w:r>
          </w:p>
        </w:tc>
        <w:tc>
          <w:tcPr>
            <w:tcW w:w="1574" w:type="dxa"/>
            <w:vAlign w:val="center"/>
          </w:tcPr>
          <w:p>
            <w:pPr>
              <w:pStyle w:val="17"/>
              <w:rPr>
                <w:highlight w:val="none"/>
              </w:rPr>
            </w:pPr>
            <w:r>
              <w:rPr>
                <w:rFonts w:hint="eastAsia"/>
                <w:highlight w:val="none"/>
              </w:rPr>
              <w:t>0.0</w:t>
            </w:r>
            <w:r>
              <w:rPr>
                <w:rFonts w:hint="eastAsia"/>
                <w:highlight w:val="none"/>
                <w:lang w:val="en-US" w:eastAsia="zh-CN"/>
              </w:rPr>
              <w:t>013</w:t>
            </w:r>
            <w:r>
              <w:rPr>
                <w:highlight w:val="none"/>
              </w:rPr>
              <w:t>t/a</w:t>
            </w:r>
          </w:p>
        </w:tc>
        <w:tc>
          <w:tcPr>
            <w:tcW w:w="1407" w:type="dxa"/>
            <w:vAlign w:val="center"/>
          </w:tcPr>
          <w:p>
            <w:pPr>
              <w:pStyle w:val="17"/>
              <w:rPr>
                <w:highlight w:val="none"/>
              </w:rPr>
            </w:pPr>
            <w:r>
              <w:rPr>
                <w:highlight w:val="none"/>
              </w:rPr>
              <w:t>/</w:t>
            </w:r>
          </w:p>
        </w:tc>
        <w:tc>
          <w:tcPr>
            <w:tcW w:w="1756" w:type="dxa"/>
            <w:vAlign w:val="center"/>
          </w:tcPr>
          <w:p>
            <w:pPr>
              <w:pStyle w:val="17"/>
              <w:rPr>
                <w:highlight w:val="none"/>
              </w:rPr>
            </w:pPr>
            <w:r>
              <w:rPr>
                <w:rFonts w:hint="eastAsia"/>
                <w:highlight w:val="none"/>
              </w:rPr>
              <w:t>0.0</w:t>
            </w:r>
            <w:r>
              <w:rPr>
                <w:rFonts w:hint="eastAsia"/>
                <w:highlight w:val="none"/>
                <w:lang w:val="en-US" w:eastAsia="zh-CN"/>
              </w:rPr>
              <w:t>289</w:t>
            </w:r>
            <w:r>
              <w:rPr>
                <w:highlight w:val="none"/>
              </w:rPr>
              <w:t>t/a</w:t>
            </w:r>
          </w:p>
        </w:tc>
        <w:tc>
          <w:tcPr>
            <w:tcW w:w="1437" w:type="dxa"/>
            <w:vAlign w:val="center"/>
          </w:tcPr>
          <w:p>
            <w:pPr>
              <w:pStyle w:val="17"/>
              <w:ind w:firstLine="0" w:firstLineChars="0"/>
              <w:rPr>
                <w:highlight w:val="none"/>
              </w:rPr>
            </w:pPr>
            <w:r>
              <w:rPr>
                <w:rFonts w:hint="eastAsia"/>
                <w:highlight w:val="none"/>
              </w:rPr>
              <w:t>0.0</w:t>
            </w:r>
            <w:r>
              <w:rPr>
                <w:rFonts w:hint="eastAsia"/>
                <w:highlight w:val="none"/>
                <w:lang w:val="en-US" w:eastAsia="zh-CN"/>
              </w:rPr>
              <w:t>013</w:t>
            </w:r>
            <w:r>
              <w:rPr>
                <w:highlight w:val="none"/>
              </w:rP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1249" w:type="dxa"/>
            <w:vMerge w:val="continue"/>
            <w:vAlign w:val="center"/>
          </w:tcPr>
          <w:p>
            <w:pPr>
              <w:pStyle w:val="17"/>
            </w:pPr>
          </w:p>
        </w:tc>
        <w:tc>
          <w:tcPr>
            <w:tcW w:w="2329" w:type="dxa"/>
            <w:vAlign w:val="center"/>
          </w:tcPr>
          <w:p>
            <w:pPr>
              <w:pStyle w:val="17"/>
            </w:pPr>
            <w:r>
              <w:t>TP</w:t>
            </w:r>
          </w:p>
        </w:tc>
        <w:tc>
          <w:tcPr>
            <w:tcW w:w="1663" w:type="dxa"/>
            <w:vAlign w:val="center"/>
          </w:tcPr>
          <w:p>
            <w:pPr>
              <w:pStyle w:val="17"/>
              <w:rPr>
                <w:highlight w:val="none"/>
                <w:lang w:eastAsia="en-US"/>
              </w:rPr>
            </w:pPr>
            <w:r>
              <w:rPr>
                <w:highlight w:val="none"/>
              </w:rPr>
              <w:t>0.00</w:t>
            </w:r>
            <w:r>
              <w:rPr>
                <w:rFonts w:hint="eastAsia"/>
                <w:highlight w:val="none"/>
                <w:lang w:val="en-US" w:eastAsia="zh-CN"/>
              </w:rPr>
              <w:t>41</w:t>
            </w:r>
            <w:r>
              <w:rPr>
                <w:highlight w:val="none"/>
              </w:rPr>
              <w:t>t/a</w:t>
            </w:r>
          </w:p>
        </w:tc>
        <w:tc>
          <w:tcPr>
            <w:tcW w:w="1105" w:type="dxa"/>
            <w:vAlign w:val="center"/>
          </w:tcPr>
          <w:p>
            <w:pPr>
              <w:pStyle w:val="17"/>
              <w:rPr>
                <w:highlight w:val="none"/>
              </w:rPr>
            </w:pPr>
            <w:r>
              <w:rPr>
                <w:highlight w:val="none"/>
              </w:rPr>
              <w:t>/</w:t>
            </w:r>
          </w:p>
        </w:tc>
        <w:tc>
          <w:tcPr>
            <w:tcW w:w="1717" w:type="dxa"/>
            <w:vAlign w:val="center"/>
          </w:tcPr>
          <w:p>
            <w:pPr>
              <w:pStyle w:val="17"/>
              <w:rPr>
                <w:highlight w:val="none"/>
              </w:rPr>
            </w:pPr>
            <w:r>
              <w:rPr>
                <w:highlight w:val="none"/>
              </w:rPr>
              <w:t>/</w:t>
            </w:r>
          </w:p>
        </w:tc>
        <w:tc>
          <w:tcPr>
            <w:tcW w:w="1574" w:type="dxa"/>
            <w:vAlign w:val="center"/>
          </w:tcPr>
          <w:p>
            <w:pPr>
              <w:pStyle w:val="17"/>
              <w:rPr>
                <w:highlight w:val="none"/>
              </w:rPr>
            </w:pPr>
            <w:r>
              <w:rPr>
                <w:rFonts w:hint="eastAsia"/>
                <w:highlight w:val="none"/>
              </w:rPr>
              <w:t>0.00</w:t>
            </w:r>
            <w:r>
              <w:rPr>
                <w:rFonts w:hint="eastAsia"/>
                <w:highlight w:val="none"/>
                <w:lang w:val="en-US" w:eastAsia="zh-CN"/>
              </w:rPr>
              <w:t>02</w:t>
            </w:r>
            <w:r>
              <w:rPr>
                <w:highlight w:val="none"/>
              </w:rPr>
              <w:t>t/a</w:t>
            </w:r>
          </w:p>
        </w:tc>
        <w:tc>
          <w:tcPr>
            <w:tcW w:w="1407" w:type="dxa"/>
            <w:vAlign w:val="center"/>
          </w:tcPr>
          <w:p>
            <w:pPr>
              <w:pStyle w:val="17"/>
              <w:rPr>
                <w:highlight w:val="none"/>
              </w:rPr>
            </w:pPr>
            <w:r>
              <w:rPr>
                <w:highlight w:val="none"/>
              </w:rPr>
              <w:t>/</w:t>
            </w:r>
          </w:p>
        </w:tc>
        <w:tc>
          <w:tcPr>
            <w:tcW w:w="1756" w:type="dxa"/>
            <w:vAlign w:val="center"/>
          </w:tcPr>
          <w:p>
            <w:pPr>
              <w:pStyle w:val="17"/>
              <w:rPr>
                <w:highlight w:val="none"/>
              </w:rPr>
            </w:pPr>
            <w:r>
              <w:rPr>
                <w:rFonts w:hint="eastAsia"/>
                <w:highlight w:val="none"/>
              </w:rPr>
              <w:t>0.00</w:t>
            </w:r>
            <w:r>
              <w:rPr>
                <w:rFonts w:hint="eastAsia"/>
                <w:highlight w:val="none"/>
                <w:lang w:val="en-US" w:eastAsia="zh-CN"/>
              </w:rPr>
              <w:t>43</w:t>
            </w:r>
            <w:r>
              <w:rPr>
                <w:highlight w:val="none"/>
              </w:rPr>
              <w:t>t/a</w:t>
            </w:r>
          </w:p>
        </w:tc>
        <w:tc>
          <w:tcPr>
            <w:tcW w:w="1437" w:type="dxa"/>
            <w:vAlign w:val="center"/>
          </w:tcPr>
          <w:p>
            <w:pPr>
              <w:pStyle w:val="17"/>
              <w:ind w:firstLine="0" w:firstLineChars="0"/>
              <w:rPr>
                <w:highlight w:val="none"/>
              </w:rPr>
            </w:pPr>
            <w:r>
              <w:rPr>
                <w:rFonts w:hint="eastAsia"/>
                <w:highlight w:val="none"/>
              </w:rPr>
              <w:t>0.00</w:t>
            </w:r>
            <w:r>
              <w:rPr>
                <w:rFonts w:hint="eastAsia"/>
                <w:highlight w:val="none"/>
                <w:lang w:val="en-US" w:eastAsia="zh-CN"/>
              </w:rPr>
              <w:t>02</w:t>
            </w:r>
            <w:r>
              <w:rPr>
                <w:highlight w:val="none"/>
              </w:rP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1249" w:type="dxa"/>
            <w:vMerge w:val="continue"/>
            <w:vAlign w:val="center"/>
          </w:tcPr>
          <w:p>
            <w:pPr>
              <w:pStyle w:val="17"/>
            </w:pPr>
          </w:p>
        </w:tc>
        <w:tc>
          <w:tcPr>
            <w:tcW w:w="2329" w:type="dxa"/>
            <w:vAlign w:val="center"/>
          </w:tcPr>
          <w:p>
            <w:pPr>
              <w:pStyle w:val="17"/>
            </w:pPr>
            <w:r>
              <w:t>TN</w:t>
            </w:r>
          </w:p>
        </w:tc>
        <w:tc>
          <w:tcPr>
            <w:tcW w:w="1663" w:type="dxa"/>
            <w:vAlign w:val="center"/>
          </w:tcPr>
          <w:p>
            <w:pPr>
              <w:pStyle w:val="17"/>
              <w:rPr>
                <w:highlight w:val="none"/>
                <w:lang w:eastAsia="en-US"/>
              </w:rPr>
            </w:pPr>
            <w:r>
              <w:rPr>
                <w:highlight w:val="none"/>
              </w:rPr>
              <w:t>0.1</w:t>
            </w:r>
            <w:r>
              <w:rPr>
                <w:rFonts w:hint="eastAsia"/>
                <w:highlight w:val="none"/>
                <w:lang w:val="en-US" w:eastAsia="zh-CN"/>
              </w:rPr>
              <w:t>379</w:t>
            </w:r>
            <w:r>
              <w:rPr>
                <w:highlight w:val="none"/>
              </w:rPr>
              <w:t>t/a</w:t>
            </w:r>
          </w:p>
        </w:tc>
        <w:tc>
          <w:tcPr>
            <w:tcW w:w="1105" w:type="dxa"/>
            <w:vAlign w:val="center"/>
          </w:tcPr>
          <w:p>
            <w:pPr>
              <w:pStyle w:val="17"/>
              <w:rPr>
                <w:highlight w:val="none"/>
              </w:rPr>
            </w:pPr>
            <w:r>
              <w:rPr>
                <w:highlight w:val="none"/>
              </w:rPr>
              <w:t>/</w:t>
            </w:r>
          </w:p>
        </w:tc>
        <w:tc>
          <w:tcPr>
            <w:tcW w:w="1717" w:type="dxa"/>
            <w:vAlign w:val="center"/>
          </w:tcPr>
          <w:p>
            <w:pPr>
              <w:pStyle w:val="17"/>
              <w:rPr>
                <w:highlight w:val="none"/>
              </w:rPr>
            </w:pPr>
            <w:r>
              <w:rPr>
                <w:highlight w:val="none"/>
              </w:rPr>
              <w:t>/</w:t>
            </w:r>
          </w:p>
        </w:tc>
        <w:tc>
          <w:tcPr>
            <w:tcW w:w="1574" w:type="dxa"/>
            <w:vAlign w:val="center"/>
          </w:tcPr>
          <w:p>
            <w:pPr>
              <w:pStyle w:val="17"/>
              <w:rPr>
                <w:highlight w:val="none"/>
              </w:rPr>
            </w:pPr>
            <w:r>
              <w:rPr>
                <w:rFonts w:hint="eastAsia"/>
                <w:highlight w:val="none"/>
              </w:rPr>
              <w:t>0.0</w:t>
            </w:r>
            <w:r>
              <w:rPr>
                <w:rFonts w:hint="eastAsia"/>
                <w:highlight w:val="none"/>
                <w:lang w:val="en-US" w:eastAsia="zh-CN"/>
              </w:rPr>
              <w:t>063</w:t>
            </w:r>
            <w:r>
              <w:rPr>
                <w:highlight w:val="none"/>
              </w:rPr>
              <w:t>t/a</w:t>
            </w:r>
          </w:p>
        </w:tc>
        <w:tc>
          <w:tcPr>
            <w:tcW w:w="1407" w:type="dxa"/>
            <w:vAlign w:val="center"/>
          </w:tcPr>
          <w:p>
            <w:pPr>
              <w:pStyle w:val="17"/>
              <w:rPr>
                <w:highlight w:val="none"/>
              </w:rPr>
            </w:pPr>
            <w:r>
              <w:rPr>
                <w:highlight w:val="none"/>
              </w:rPr>
              <w:t>/</w:t>
            </w:r>
          </w:p>
        </w:tc>
        <w:tc>
          <w:tcPr>
            <w:tcW w:w="1756" w:type="dxa"/>
            <w:vAlign w:val="center"/>
          </w:tcPr>
          <w:p>
            <w:pPr>
              <w:pStyle w:val="17"/>
              <w:rPr>
                <w:highlight w:val="none"/>
              </w:rPr>
            </w:pPr>
            <w:r>
              <w:rPr>
                <w:rFonts w:hint="eastAsia"/>
                <w:highlight w:val="none"/>
              </w:rPr>
              <w:t>0.</w:t>
            </w:r>
            <w:r>
              <w:rPr>
                <w:rFonts w:hint="eastAsia"/>
                <w:highlight w:val="none"/>
                <w:lang w:val="en-US" w:eastAsia="zh-CN"/>
              </w:rPr>
              <w:t>1442</w:t>
            </w:r>
            <w:r>
              <w:rPr>
                <w:highlight w:val="none"/>
              </w:rPr>
              <w:t>t/a</w:t>
            </w:r>
          </w:p>
        </w:tc>
        <w:tc>
          <w:tcPr>
            <w:tcW w:w="1437" w:type="dxa"/>
            <w:vAlign w:val="center"/>
          </w:tcPr>
          <w:p>
            <w:pPr>
              <w:pStyle w:val="17"/>
              <w:ind w:firstLine="0" w:firstLineChars="0"/>
              <w:rPr>
                <w:highlight w:val="none"/>
              </w:rPr>
            </w:pPr>
            <w:r>
              <w:rPr>
                <w:rFonts w:hint="eastAsia"/>
                <w:highlight w:val="none"/>
              </w:rPr>
              <w:t>0.0</w:t>
            </w:r>
            <w:r>
              <w:rPr>
                <w:rFonts w:hint="eastAsia"/>
                <w:highlight w:val="none"/>
                <w:lang w:val="en-US" w:eastAsia="zh-CN"/>
              </w:rPr>
              <w:t>063</w:t>
            </w:r>
            <w:r>
              <w:rPr>
                <w:highlight w:val="none"/>
              </w:rP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249" w:type="dxa"/>
            <w:vMerge w:val="continue"/>
            <w:vAlign w:val="center"/>
          </w:tcPr>
          <w:p>
            <w:pPr>
              <w:pStyle w:val="17"/>
            </w:pPr>
          </w:p>
        </w:tc>
        <w:tc>
          <w:tcPr>
            <w:tcW w:w="2329" w:type="dxa"/>
            <w:vAlign w:val="center"/>
          </w:tcPr>
          <w:p>
            <w:pPr>
              <w:pStyle w:val="17"/>
            </w:pPr>
            <w:r>
              <w:rPr>
                <w:rFonts w:hint="eastAsia"/>
              </w:rPr>
              <w:t>动植物油</w:t>
            </w:r>
          </w:p>
        </w:tc>
        <w:tc>
          <w:tcPr>
            <w:tcW w:w="1663" w:type="dxa"/>
            <w:vAlign w:val="center"/>
          </w:tcPr>
          <w:p>
            <w:pPr>
              <w:pStyle w:val="17"/>
              <w:rPr>
                <w:highlight w:val="none"/>
              </w:rPr>
            </w:pPr>
            <w:r>
              <w:rPr>
                <w:rFonts w:hint="eastAsia"/>
                <w:highlight w:val="none"/>
              </w:rPr>
              <w:t>0.</w:t>
            </w:r>
            <w:r>
              <w:rPr>
                <w:rFonts w:hint="eastAsia"/>
                <w:highlight w:val="none"/>
                <w:lang w:val="en-US" w:eastAsia="zh-CN"/>
              </w:rPr>
              <w:t>0138</w:t>
            </w:r>
            <w:r>
              <w:rPr>
                <w:highlight w:val="none"/>
              </w:rPr>
              <w:t>t/a</w:t>
            </w:r>
          </w:p>
        </w:tc>
        <w:tc>
          <w:tcPr>
            <w:tcW w:w="1105" w:type="dxa"/>
            <w:vAlign w:val="center"/>
          </w:tcPr>
          <w:p>
            <w:pPr>
              <w:pStyle w:val="17"/>
              <w:rPr>
                <w:highlight w:val="none"/>
              </w:rPr>
            </w:pPr>
            <w:r>
              <w:rPr>
                <w:rFonts w:hint="eastAsia"/>
                <w:highlight w:val="none"/>
              </w:rPr>
              <w:t>/</w:t>
            </w:r>
          </w:p>
        </w:tc>
        <w:tc>
          <w:tcPr>
            <w:tcW w:w="1717" w:type="dxa"/>
            <w:vAlign w:val="center"/>
          </w:tcPr>
          <w:p>
            <w:pPr>
              <w:pStyle w:val="17"/>
              <w:rPr>
                <w:highlight w:val="none"/>
              </w:rPr>
            </w:pPr>
            <w:r>
              <w:rPr>
                <w:rFonts w:hint="eastAsia"/>
                <w:highlight w:val="none"/>
              </w:rPr>
              <w:t>/</w:t>
            </w:r>
          </w:p>
        </w:tc>
        <w:tc>
          <w:tcPr>
            <w:tcW w:w="1574" w:type="dxa"/>
            <w:vAlign w:val="center"/>
          </w:tcPr>
          <w:p>
            <w:pPr>
              <w:pStyle w:val="17"/>
              <w:rPr>
                <w:highlight w:val="none"/>
              </w:rPr>
            </w:pPr>
            <w:r>
              <w:rPr>
                <w:rFonts w:hint="eastAsia"/>
                <w:highlight w:val="none"/>
              </w:rPr>
              <w:t>0.0</w:t>
            </w:r>
            <w:r>
              <w:rPr>
                <w:rFonts w:hint="eastAsia"/>
                <w:highlight w:val="none"/>
                <w:lang w:val="en-US" w:eastAsia="zh-CN"/>
              </w:rPr>
              <w:t>006</w:t>
            </w:r>
            <w:r>
              <w:rPr>
                <w:highlight w:val="none"/>
              </w:rPr>
              <w:t>t/a</w:t>
            </w:r>
          </w:p>
        </w:tc>
        <w:tc>
          <w:tcPr>
            <w:tcW w:w="1407" w:type="dxa"/>
            <w:vAlign w:val="center"/>
          </w:tcPr>
          <w:p>
            <w:pPr>
              <w:pStyle w:val="17"/>
              <w:rPr>
                <w:highlight w:val="none"/>
              </w:rPr>
            </w:pPr>
          </w:p>
        </w:tc>
        <w:tc>
          <w:tcPr>
            <w:tcW w:w="1756" w:type="dxa"/>
            <w:vAlign w:val="center"/>
          </w:tcPr>
          <w:p>
            <w:pPr>
              <w:pStyle w:val="17"/>
              <w:rPr>
                <w:highlight w:val="none"/>
              </w:rPr>
            </w:pPr>
            <w:r>
              <w:rPr>
                <w:rFonts w:hint="eastAsia"/>
                <w:highlight w:val="none"/>
              </w:rPr>
              <w:t>0.</w:t>
            </w:r>
            <w:r>
              <w:rPr>
                <w:rFonts w:hint="eastAsia"/>
                <w:highlight w:val="none"/>
                <w:lang w:val="en-US" w:eastAsia="zh-CN"/>
              </w:rPr>
              <w:t>0144</w:t>
            </w:r>
            <w:r>
              <w:rPr>
                <w:highlight w:val="none"/>
              </w:rPr>
              <w:t>t/a</w:t>
            </w:r>
          </w:p>
        </w:tc>
        <w:tc>
          <w:tcPr>
            <w:tcW w:w="1437" w:type="dxa"/>
            <w:vAlign w:val="center"/>
          </w:tcPr>
          <w:p>
            <w:pPr>
              <w:pStyle w:val="17"/>
              <w:ind w:firstLine="0" w:firstLineChars="0"/>
              <w:rPr>
                <w:highlight w:val="none"/>
              </w:rPr>
            </w:pPr>
            <w:r>
              <w:rPr>
                <w:rFonts w:hint="eastAsia"/>
                <w:highlight w:val="none"/>
              </w:rPr>
              <w:t>0.0</w:t>
            </w:r>
            <w:r>
              <w:rPr>
                <w:rFonts w:hint="eastAsia"/>
                <w:highlight w:val="none"/>
                <w:lang w:val="en-US" w:eastAsia="zh-CN"/>
              </w:rPr>
              <w:t>006</w:t>
            </w:r>
            <w:r>
              <w:rPr>
                <w:highlight w:val="none"/>
              </w:rP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249" w:type="dxa"/>
            <w:vMerge w:val="continue"/>
            <w:vAlign w:val="center"/>
          </w:tcPr>
          <w:p>
            <w:pPr>
              <w:pStyle w:val="17"/>
            </w:pPr>
          </w:p>
        </w:tc>
        <w:tc>
          <w:tcPr>
            <w:tcW w:w="2329" w:type="dxa"/>
            <w:vAlign w:val="center"/>
          </w:tcPr>
          <w:p>
            <w:pPr>
              <w:pStyle w:val="17"/>
            </w:pPr>
            <w:r>
              <w:t>石油类</w:t>
            </w:r>
          </w:p>
        </w:tc>
        <w:tc>
          <w:tcPr>
            <w:tcW w:w="1663" w:type="dxa"/>
            <w:vAlign w:val="center"/>
          </w:tcPr>
          <w:p>
            <w:pPr>
              <w:pStyle w:val="17"/>
              <w:rPr>
                <w:highlight w:val="none"/>
                <w:lang w:eastAsia="en-US"/>
              </w:rPr>
            </w:pPr>
            <w:r>
              <w:rPr>
                <w:highlight w:val="none"/>
              </w:rPr>
              <w:t>0.01</w:t>
            </w:r>
            <w:r>
              <w:rPr>
                <w:rFonts w:hint="eastAsia"/>
                <w:highlight w:val="none"/>
                <w:lang w:val="en-US" w:eastAsia="zh-CN"/>
              </w:rPr>
              <w:t>38</w:t>
            </w:r>
            <w:r>
              <w:rPr>
                <w:highlight w:val="none"/>
              </w:rPr>
              <w:t>t/a</w:t>
            </w:r>
          </w:p>
        </w:tc>
        <w:tc>
          <w:tcPr>
            <w:tcW w:w="1105" w:type="dxa"/>
            <w:vAlign w:val="center"/>
          </w:tcPr>
          <w:p>
            <w:pPr>
              <w:pStyle w:val="17"/>
              <w:rPr>
                <w:highlight w:val="none"/>
              </w:rPr>
            </w:pPr>
            <w:r>
              <w:rPr>
                <w:highlight w:val="none"/>
              </w:rPr>
              <w:t>/</w:t>
            </w:r>
          </w:p>
        </w:tc>
        <w:tc>
          <w:tcPr>
            <w:tcW w:w="1717" w:type="dxa"/>
            <w:vAlign w:val="center"/>
          </w:tcPr>
          <w:p>
            <w:pPr>
              <w:pStyle w:val="17"/>
              <w:rPr>
                <w:highlight w:val="none"/>
              </w:rPr>
            </w:pPr>
            <w:r>
              <w:rPr>
                <w:highlight w:val="none"/>
              </w:rPr>
              <w:t>/</w:t>
            </w:r>
          </w:p>
        </w:tc>
        <w:tc>
          <w:tcPr>
            <w:tcW w:w="1574" w:type="dxa"/>
            <w:vAlign w:val="center"/>
          </w:tcPr>
          <w:p>
            <w:pPr>
              <w:pStyle w:val="17"/>
              <w:rPr>
                <w:highlight w:val="none"/>
              </w:rPr>
            </w:pPr>
            <w:r>
              <w:rPr>
                <w:rFonts w:hint="eastAsia"/>
                <w:highlight w:val="none"/>
              </w:rPr>
              <w:t>0</w:t>
            </w:r>
          </w:p>
        </w:tc>
        <w:tc>
          <w:tcPr>
            <w:tcW w:w="1407" w:type="dxa"/>
            <w:vAlign w:val="center"/>
          </w:tcPr>
          <w:p>
            <w:pPr>
              <w:pStyle w:val="17"/>
              <w:rPr>
                <w:highlight w:val="none"/>
              </w:rPr>
            </w:pPr>
            <w:r>
              <w:rPr>
                <w:highlight w:val="none"/>
              </w:rPr>
              <w:t>/</w:t>
            </w:r>
          </w:p>
        </w:tc>
        <w:tc>
          <w:tcPr>
            <w:tcW w:w="1756" w:type="dxa"/>
            <w:vAlign w:val="center"/>
          </w:tcPr>
          <w:p>
            <w:pPr>
              <w:pStyle w:val="17"/>
              <w:rPr>
                <w:highlight w:val="none"/>
              </w:rPr>
            </w:pPr>
            <w:r>
              <w:rPr>
                <w:highlight w:val="none"/>
              </w:rPr>
              <w:t>0.0</w:t>
            </w:r>
            <w:r>
              <w:rPr>
                <w:rFonts w:hint="eastAsia"/>
                <w:highlight w:val="none"/>
                <w:lang w:val="en-US" w:eastAsia="zh-CN"/>
              </w:rPr>
              <w:t>138</w:t>
            </w:r>
            <w:r>
              <w:rPr>
                <w:highlight w:val="none"/>
              </w:rPr>
              <w:t>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249" w:type="dxa"/>
            <w:vMerge w:val="continue"/>
            <w:vAlign w:val="center"/>
          </w:tcPr>
          <w:p>
            <w:pPr>
              <w:pStyle w:val="17"/>
            </w:pPr>
          </w:p>
        </w:tc>
        <w:tc>
          <w:tcPr>
            <w:tcW w:w="2329" w:type="dxa"/>
            <w:vAlign w:val="center"/>
          </w:tcPr>
          <w:p>
            <w:pPr>
              <w:pStyle w:val="17"/>
            </w:pPr>
            <w:r>
              <w:t>LAS</w:t>
            </w:r>
          </w:p>
        </w:tc>
        <w:tc>
          <w:tcPr>
            <w:tcW w:w="1663" w:type="dxa"/>
            <w:vAlign w:val="center"/>
          </w:tcPr>
          <w:p>
            <w:pPr>
              <w:pStyle w:val="17"/>
              <w:rPr>
                <w:highlight w:val="none"/>
                <w:lang w:eastAsia="en-US"/>
              </w:rPr>
            </w:pPr>
            <w:r>
              <w:rPr>
                <w:highlight w:val="none"/>
              </w:rPr>
              <w:t>0.00</w:t>
            </w:r>
            <w:r>
              <w:rPr>
                <w:rFonts w:hint="eastAsia"/>
                <w:highlight w:val="none"/>
                <w:lang w:val="en-US" w:eastAsia="zh-CN"/>
              </w:rPr>
              <w:t>69</w:t>
            </w:r>
            <w:r>
              <w:rPr>
                <w:highlight w:val="none"/>
              </w:rPr>
              <w:t>t/a</w:t>
            </w:r>
          </w:p>
        </w:tc>
        <w:tc>
          <w:tcPr>
            <w:tcW w:w="1105" w:type="dxa"/>
            <w:vAlign w:val="center"/>
          </w:tcPr>
          <w:p>
            <w:pPr>
              <w:pStyle w:val="17"/>
              <w:rPr>
                <w:highlight w:val="none"/>
              </w:rPr>
            </w:pPr>
            <w:r>
              <w:rPr>
                <w:highlight w:val="none"/>
              </w:rPr>
              <w:t>/</w:t>
            </w:r>
          </w:p>
        </w:tc>
        <w:tc>
          <w:tcPr>
            <w:tcW w:w="1717" w:type="dxa"/>
            <w:vAlign w:val="center"/>
          </w:tcPr>
          <w:p>
            <w:pPr>
              <w:pStyle w:val="17"/>
              <w:rPr>
                <w:highlight w:val="none"/>
              </w:rPr>
            </w:pPr>
            <w:r>
              <w:rPr>
                <w:highlight w:val="none"/>
              </w:rPr>
              <w:t>/</w:t>
            </w:r>
          </w:p>
        </w:tc>
        <w:tc>
          <w:tcPr>
            <w:tcW w:w="1574" w:type="dxa"/>
            <w:vAlign w:val="center"/>
          </w:tcPr>
          <w:p>
            <w:pPr>
              <w:pStyle w:val="17"/>
              <w:rPr>
                <w:highlight w:val="none"/>
              </w:rPr>
            </w:pPr>
            <w:r>
              <w:rPr>
                <w:rFonts w:hint="eastAsia"/>
                <w:highlight w:val="none"/>
              </w:rPr>
              <w:t>0</w:t>
            </w:r>
          </w:p>
        </w:tc>
        <w:tc>
          <w:tcPr>
            <w:tcW w:w="1407" w:type="dxa"/>
            <w:vAlign w:val="center"/>
          </w:tcPr>
          <w:p>
            <w:pPr>
              <w:pStyle w:val="17"/>
              <w:rPr>
                <w:highlight w:val="none"/>
              </w:rPr>
            </w:pPr>
            <w:r>
              <w:rPr>
                <w:highlight w:val="none"/>
              </w:rPr>
              <w:t>/</w:t>
            </w:r>
          </w:p>
        </w:tc>
        <w:tc>
          <w:tcPr>
            <w:tcW w:w="1756" w:type="dxa"/>
            <w:vAlign w:val="center"/>
          </w:tcPr>
          <w:p>
            <w:pPr>
              <w:pStyle w:val="17"/>
              <w:rPr>
                <w:highlight w:val="none"/>
              </w:rPr>
            </w:pPr>
            <w:r>
              <w:rPr>
                <w:highlight w:val="none"/>
              </w:rPr>
              <w:t>0.00</w:t>
            </w:r>
            <w:r>
              <w:rPr>
                <w:rFonts w:hint="eastAsia"/>
                <w:highlight w:val="none"/>
                <w:lang w:val="en-US" w:eastAsia="zh-CN"/>
              </w:rPr>
              <w:t>69</w:t>
            </w:r>
            <w:r>
              <w:rPr>
                <w:highlight w:val="none"/>
              </w:rPr>
              <w:t>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1249" w:type="dxa"/>
            <w:vMerge w:val="restart"/>
            <w:vAlign w:val="center"/>
          </w:tcPr>
          <w:p>
            <w:pPr>
              <w:pStyle w:val="17"/>
            </w:pPr>
            <w:r>
              <w:t>一般工业固体废物</w:t>
            </w:r>
          </w:p>
        </w:tc>
        <w:tc>
          <w:tcPr>
            <w:tcW w:w="2329" w:type="dxa"/>
            <w:vAlign w:val="center"/>
          </w:tcPr>
          <w:p>
            <w:pPr>
              <w:pStyle w:val="17"/>
            </w:pPr>
            <w:r>
              <w:t>边角料</w:t>
            </w:r>
          </w:p>
        </w:tc>
        <w:tc>
          <w:tcPr>
            <w:tcW w:w="1663" w:type="dxa"/>
            <w:vAlign w:val="center"/>
          </w:tcPr>
          <w:p>
            <w:pPr>
              <w:pStyle w:val="17"/>
              <w:rPr>
                <w:lang w:eastAsia="en-US"/>
              </w:rPr>
            </w:pPr>
            <w:r>
              <w:rPr>
                <w:rFonts w:hint="eastAsia"/>
              </w:rPr>
              <w:t>1.5</w:t>
            </w:r>
            <w:r>
              <w:t>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rPr>
                <w:rFonts w:hint="eastAsia"/>
              </w:rPr>
              <w:t>1.5</w:t>
            </w:r>
            <w:r>
              <w:t>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1249" w:type="dxa"/>
            <w:vMerge w:val="continue"/>
            <w:vAlign w:val="center"/>
          </w:tcPr>
          <w:p>
            <w:pPr>
              <w:pStyle w:val="17"/>
            </w:pPr>
          </w:p>
        </w:tc>
        <w:tc>
          <w:tcPr>
            <w:tcW w:w="2329" w:type="dxa"/>
            <w:vAlign w:val="center"/>
          </w:tcPr>
          <w:p>
            <w:pPr>
              <w:pStyle w:val="17"/>
            </w:pPr>
            <w:r>
              <w:t>废包装材料</w:t>
            </w:r>
          </w:p>
        </w:tc>
        <w:tc>
          <w:tcPr>
            <w:tcW w:w="1663" w:type="dxa"/>
            <w:vAlign w:val="center"/>
          </w:tcPr>
          <w:p>
            <w:pPr>
              <w:pStyle w:val="17"/>
              <w:rPr>
                <w:lang w:eastAsia="en-US"/>
              </w:rPr>
            </w:pPr>
            <w:r>
              <w:t>2.3t/a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0.5</w:t>
            </w:r>
            <w:r>
              <w:t>t/a</w:t>
            </w:r>
          </w:p>
        </w:tc>
        <w:tc>
          <w:tcPr>
            <w:tcW w:w="1407" w:type="dxa"/>
            <w:vAlign w:val="center"/>
          </w:tcPr>
          <w:p>
            <w:pPr>
              <w:pStyle w:val="17"/>
            </w:pPr>
            <w:r>
              <w:t>/</w:t>
            </w:r>
          </w:p>
        </w:tc>
        <w:tc>
          <w:tcPr>
            <w:tcW w:w="1756" w:type="dxa"/>
            <w:vAlign w:val="center"/>
          </w:tcPr>
          <w:p>
            <w:pPr>
              <w:pStyle w:val="17"/>
            </w:pPr>
            <w:r>
              <w:rPr>
                <w:rFonts w:hint="eastAsia"/>
              </w:rPr>
              <w:t>2.8</w:t>
            </w:r>
            <w:r>
              <w:t>t/a</w:t>
            </w:r>
          </w:p>
        </w:tc>
        <w:tc>
          <w:tcPr>
            <w:tcW w:w="1437" w:type="dxa"/>
            <w:vAlign w:val="center"/>
          </w:tcPr>
          <w:p>
            <w:pPr>
              <w:pStyle w:val="17"/>
            </w:pPr>
            <w:r>
              <w:rPr>
                <w:rFonts w:hint="eastAsia"/>
              </w:rPr>
              <w:t>+0.5</w:t>
            </w:r>
            <w: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1249" w:type="dxa"/>
            <w:vMerge w:val="continue"/>
            <w:vAlign w:val="center"/>
          </w:tcPr>
          <w:p>
            <w:pPr>
              <w:pStyle w:val="17"/>
            </w:pPr>
          </w:p>
        </w:tc>
        <w:tc>
          <w:tcPr>
            <w:tcW w:w="2329" w:type="dxa"/>
            <w:vAlign w:val="center"/>
          </w:tcPr>
          <w:p>
            <w:pPr>
              <w:pStyle w:val="17"/>
            </w:pPr>
            <w:r>
              <w:t>废原材料</w:t>
            </w:r>
          </w:p>
        </w:tc>
        <w:tc>
          <w:tcPr>
            <w:tcW w:w="1663" w:type="dxa"/>
            <w:vAlign w:val="center"/>
          </w:tcPr>
          <w:p>
            <w:pPr>
              <w:pStyle w:val="17"/>
              <w:rPr>
                <w:lang w:eastAsia="en-US"/>
              </w:rPr>
            </w:pPr>
            <w:r>
              <w:t>6t/a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rPr>
                <w:rFonts w:hint="eastAsia"/>
              </w:rPr>
              <w:t>6</w:t>
            </w:r>
            <w:r>
              <w:t>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1249" w:type="dxa"/>
            <w:vMerge w:val="continue"/>
            <w:vAlign w:val="center"/>
          </w:tcPr>
          <w:p>
            <w:pPr>
              <w:pStyle w:val="17"/>
            </w:pPr>
          </w:p>
        </w:tc>
        <w:tc>
          <w:tcPr>
            <w:tcW w:w="2329" w:type="dxa"/>
            <w:vAlign w:val="center"/>
          </w:tcPr>
          <w:p>
            <w:pPr>
              <w:pStyle w:val="17"/>
            </w:pPr>
            <w:r>
              <w:t>除尘滤纸</w:t>
            </w:r>
          </w:p>
        </w:tc>
        <w:tc>
          <w:tcPr>
            <w:tcW w:w="1663" w:type="dxa"/>
            <w:vAlign w:val="center"/>
          </w:tcPr>
          <w:p>
            <w:pPr>
              <w:pStyle w:val="17"/>
              <w:rPr>
                <w:lang w:eastAsia="en-US"/>
              </w:rPr>
            </w:pPr>
            <w:r>
              <w:t>0.04t/a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0.02</w:t>
            </w:r>
            <w:r>
              <w:t>t/a</w:t>
            </w:r>
          </w:p>
        </w:tc>
        <w:tc>
          <w:tcPr>
            <w:tcW w:w="1407" w:type="dxa"/>
            <w:vAlign w:val="center"/>
          </w:tcPr>
          <w:p>
            <w:pPr>
              <w:pStyle w:val="17"/>
            </w:pPr>
            <w:r>
              <w:t>/</w:t>
            </w:r>
          </w:p>
        </w:tc>
        <w:tc>
          <w:tcPr>
            <w:tcW w:w="1756" w:type="dxa"/>
            <w:vAlign w:val="center"/>
          </w:tcPr>
          <w:p>
            <w:pPr>
              <w:pStyle w:val="17"/>
            </w:pPr>
            <w:r>
              <w:rPr>
                <w:rFonts w:hint="eastAsia"/>
              </w:rPr>
              <w:t>0.06</w:t>
            </w:r>
            <w:r>
              <w:t>t/a</w:t>
            </w:r>
          </w:p>
        </w:tc>
        <w:tc>
          <w:tcPr>
            <w:tcW w:w="1437" w:type="dxa"/>
            <w:vAlign w:val="center"/>
          </w:tcPr>
          <w:p>
            <w:pPr>
              <w:pStyle w:val="17"/>
            </w:pPr>
            <w:r>
              <w:rPr>
                <w:rFonts w:hint="eastAsia"/>
              </w:rPr>
              <w:t>+0.02</w:t>
            </w:r>
            <w: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1249" w:type="dxa"/>
            <w:vMerge w:val="continue"/>
            <w:vAlign w:val="center"/>
          </w:tcPr>
          <w:p>
            <w:pPr>
              <w:pStyle w:val="17"/>
            </w:pPr>
          </w:p>
        </w:tc>
        <w:tc>
          <w:tcPr>
            <w:tcW w:w="2329" w:type="dxa"/>
            <w:vAlign w:val="center"/>
          </w:tcPr>
          <w:p>
            <w:pPr>
              <w:pStyle w:val="17"/>
            </w:pPr>
            <w:r>
              <w:t>不合格品</w:t>
            </w:r>
          </w:p>
        </w:tc>
        <w:tc>
          <w:tcPr>
            <w:tcW w:w="1663" w:type="dxa"/>
            <w:vAlign w:val="center"/>
          </w:tcPr>
          <w:p>
            <w:pPr>
              <w:pStyle w:val="17"/>
              <w:rPr>
                <w:lang w:eastAsia="en-US"/>
              </w:rPr>
            </w:pPr>
            <w:r>
              <w:rPr>
                <w:rFonts w:hint="eastAsia"/>
              </w:rPr>
              <w:t>83</w:t>
            </w:r>
            <w:r>
              <w:t>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15</w:t>
            </w:r>
            <w:r>
              <w:t>t/a</w:t>
            </w:r>
          </w:p>
        </w:tc>
        <w:tc>
          <w:tcPr>
            <w:tcW w:w="1407" w:type="dxa"/>
            <w:vAlign w:val="center"/>
          </w:tcPr>
          <w:p>
            <w:pPr>
              <w:pStyle w:val="17"/>
            </w:pPr>
            <w:r>
              <w:t>/</w:t>
            </w:r>
          </w:p>
        </w:tc>
        <w:tc>
          <w:tcPr>
            <w:tcW w:w="1756" w:type="dxa"/>
            <w:vAlign w:val="center"/>
          </w:tcPr>
          <w:p>
            <w:pPr>
              <w:pStyle w:val="17"/>
            </w:pPr>
            <w:r>
              <w:rPr>
                <w:rFonts w:hint="eastAsia"/>
              </w:rPr>
              <w:t>98</w:t>
            </w:r>
            <w:r>
              <w:t>t/a</w:t>
            </w:r>
          </w:p>
        </w:tc>
        <w:tc>
          <w:tcPr>
            <w:tcW w:w="1437" w:type="dxa"/>
            <w:vAlign w:val="center"/>
          </w:tcPr>
          <w:p>
            <w:pPr>
              <w:pStyle w:val="17"/>
            </w:pPr>
            <w:r>
              <w:rPr>
                <w:rFonts w:hint="eastAsia"/>
              </w:rPr>
              <w:t>+15</w:t>
            </w:r>
            <w: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249" w:type="dxa"/>
            <w:vMerge w:val="continue"/>
            <w:vAlign w:val="center"/>
          </w:tcPr>
          <w:p>
            <w:pPr>
              <w:pStyle w:val="17"/>
            </w:pPr>
          </w:p>
        </w:tc>
        <w:tc>
          <w:tcPr>
            <w:tcW w:w="2329" w:type="dxa"/>
            <w:vAlign w:val="center"/>
          </w:tcPr>
          <w:p>
            <w:pPr>
              <w:pStyle w:val="17"/>
            </w:pPr>
            <w:r>
              <w:t>光伏电板</w:t>
            </w:r>
          </w:p>
        </w:tc>
        <w:tc>
          <w:tcPr>
            <w:tcW w:w="1663" w:type="dxa"/>
            <w:vAlign w:val="center"/>
          </w:tcPr>
          <w:p>
            <w:pPr>
              <w:pStyle w:val="17"/>
              <w:rPr>
                <w:lang w:eastAsia="en-US"/>
              </w:rPr>
            </w:pPr>
            <w:r>
              <w:t>0.5t/a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0.5t/a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1249" w:type="dxa"/>
            <w:vMerge w:val="continue"/>
            <w:vAlign w:val="center"/>
          </w:tcPr>
          <w:p>
            <w:pPr>
              <w:pStyle w:val="17"/>
            </w:pPr>
          </w:p>
        </w:tc>
        <w:tc>
          <w:tcPr>
            <w:tcW w:w="2329" w:type="dxa"/>
            <w:vAlign w:val="center"/>
          </w:tcPr>
          <w:p>
            <w:pPr>
              <w:pStyle w:val="17"/>
            </w:pPr>
            <w:r>
              <w:t>废树脂</w:t>
            </w:r>
          </w:p>
        </w:tc>
        <w:tc>
          <w:tcPr>
            <w:tcW w:w="1663" w:type="dxa"/>
            <w:vAlign w:val="center"/>
          </w:tcPr>
          <w:p>
            <w:pPr>
              <w:pStyle w:val="17"/>
              <w:rPr>
                <w:lang w:eastAsia="en-US"/>
              </w:rPr>
            </w:pPr>
            <w:r>
              <w:t>0.09t/a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0.09t/a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6" w:hRule="atLeast"/>
        </w:trPr>
        <w:tc>
          <w:tcPr>
            <w:tcW w:w="1249" w:type="dxa"/>
            <w:vMerge w:val="restart"/>
            <w:vAlign w:val="center"/>
          </w:tcPr>
          <w:p>
            <w:pPr>
              <w:pStyle w:val="17"/>
            </w:pPr>
            <w:r>
              <w:t>危险废物</w:t>
            </w:r>
          </w:p>
        </w:tc>
        <w:tc>
          <w:tcPr>
            <w:tcW w:w="2329" w:type="dxa"/>
            <w:vAlign w:val="center"/>
          </w:tcPr>
          <w:p>
            <w:pPr>
              <w:pStyle w:val="17"/>
            </w:pPr>
            <w:r>
              <w:t>废辅料包装物</w:t>
            </w:r>
          </w:p>
        </w:tc>
        <w:tc>
          <w:tcPr>
            <w:tcW w:w="1663" w:type="dxa"/>
            <w:vAlign w:val="center"/>
          </w:tcPr>
          <w:p>
            <w:pPr>
              <w:pStyle w:val="17"/>
              <w:rPr>
                <w:lang w:eastAsia="en-US"/>
              </w:rPr>
            </w:pPr>
            <w:r>
              <w:t>0.1135t/a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0.1135t/a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249" w:type="dxa"/>
            <w:vMerge w:val="continue"/>
            <w:vAlign w:val="center"/>
          </w:tcPr>
          <w:p>
            <w:pPr>
              <w:pStyle w:val="17"/>
            </w:pPr>
          </w:p>
        </w:tc>
        <w:tc>
          <w:tcPr>
            <w:tcW w:w="2329" w:type="dxa"/>
            <w:vAlign w:val="center"/>
          </w:tcPr>
          <w:p>
            <w:pPr>
              <w:pStyle w:val="17"/>
            </w:pPr>
            <w:r>
              <w:rPr>
                <w:highlight w:val="none"/>
                <w:lang w:eastAsia="zh-CN"/>
              </w:rPr>
              <w:t>废</w:t>
            </w:r>
            <w:r>
              <w:rPr>
                <w:highlight w:val="none"/>
              </w:rPr>
              <w:t>润滑油</w:t>
            </w:r>
            <w:r>
              <w:rPr>
                <w:rFonts w:hint="eastAsia"/>
                <w:highlight w:val="none"/>
                <w:lang w:eastAsia="zh-CN"/>
              </w:rPr>
              <w:t>、</w:t>
            </w:r>
            <w:r>
              <w:rPr>
                <w:highlight w:val="none"/>
                <w:lang w:eastAsia="zh-CN"/>
              </w:rPr>
              <w:t>废</w:t>
            </w:r>
            <w:r>
              <w:rPr>
                <w:highlight w:val="none"/>
              </w:rPr>
              <w:t>润滑油桶及润滑</w:t>
            </w:r>
            <w:r>
              <w:rPr>
                <w:rFonts w:hint="eastAsia"/>
                <w:highlight w:val="none"/>
                <w:lang w:val="en-US" w:eastAsia="zh-CN"/>
              </w:rPr>
              <w:t>脂</w:t>
            </w:r>
            <w:r>
              <w:rPr>
                <w:highlight w:val="none"/>
              </w:rPr>
              <w:t>桶</w:t>
            </w:r>
          </w:p>
        </w:tc>
        <w:tc>
          <w:tcPr>
            <w:tcW w:w="1663" w:type="dxa"/>
            <w:vAlign w:val="center"/>
          </w:tcPr>
          <w:p>
            <w:pPr>
              <w:pStyle w:val="17"/>
              <w:rPr>
                <w:lang w:eastAsia="en-US"/>
              </w:rPr>
            </w:pPr>
            <w:r>
              <w:t>3.7512t/a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0.0598</w:t>
            </w:r>
            <w:r>
              <w:t>t/a</w:t>
            </w:r>
          </w:p>
        </w:tc>
        <w:tc>
          <w:tcPr>
            <w:tcW w:w="1407" w:type="dxa"/>
            <w:vAlign w:val="center"/>
          </w:tcPr>
          <w:p>
            <w:pPr>
              <w:pStyle w:val="17"/>
            </w:pPr>
            <w:r>
              <w:t>/</w:t>
            </w:r>
          </w:p>
        </w:tc>
        <w:tc>
          <w:tcPr>
            <w:tcW w:w="1756" w:type="dxa"/>
            <w:vAlign w:val="center"/>
          </w:tcPr>
          <w:p>
            <w:pPr>
              <w:pStyle w:val="17"/>
            </w:pPr>
            <w:r>
              <w:rPr>
                <w:rFonts w:hint="eastAsia"/>
              </w:rPr>
              <w:t>3.811</w:t>
            </w:r>
            <w:r>
              <w:t>t/a</w:t>
            </w:r>
          </w:p>
        </w:tc>
        <w:tc>
          <w:tcPr>
            <w:tcW w:w="1437" w:type="dxa"/>
            <w:vAlign w:val="center"/>
          </w:tcPr>
          <w:p>
            <w:pPr>
              <w:pStyle w:val="17"/>
            </w:pPr>
            <w:r>
              <w:rPr>
                <w:rFonts w:hint="eastAsia"/>
              </w:rPr>
              <w:t>+0.0598</w:t>
            </w:r>
            <w: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9" w:hRule="atLeast"/>
        </w:trPr>
        <w:tc>
          <w:tcPr>
            <w:tcW w:w="1249" w:type="dxa"/>
            <w:vMerge w:val="continue"/>
            <w:vAlign w:val="center"/>
          </w:tcPr>
          <w:p>
            <w:pPr>
              <w:pStyle w:val="17"/>
            </w:pPr>
          </w:p>
        </w:tc>
        <w:tc>
          <w:tcPr>
            <w:tcW w:w="2329" w:type="dxa"/>
            <w:vAlign w:val="center"/>
          </w:tcPr>
          <w:p>
            <w:pPr>
              <w:pStyle w:val="17"/>
            </w:pPr>
            <w:r>
              <w:t>废液压油桶、废真空泵油桶、废导轨油桶</w:t>
            </w:r>
          </w:p>
        </w:tc>
        <w:tc>
          <w:tcPr>
            <w:tcW w:w="1663" w:type="dxa"/>
            <w:vAlign w:val="center"/>
          </w:tcPr>
          <w:p>
            <w:pPr>
              <w:pStyle w:val="17"/>
              <w:rPr>
                <w:lang w:eastAsia="en-US"/>
              </w:rPr>
            </w:pPr>
            <w:r>
              <w:t>0.0475t/a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0.0475t/a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249" w:type="dxa"/>
            <w:vMerge w:val="continue"/>
            <w:vAlign w:val="center"/>
          </w:tcPr>
          <w:p>
            <w:pPr>
              <w:pStyle w:val="17"/>
            </w:pPr>
          </w:p>
        </w:tc>
        <w:tc>
          <w:tcPr>
            <w:tcW w:w="2329" w:type="dxa"/>
            <w:vAlign w:val="center"/>
          </w:tcPr>
          <w:p>
            <w:pPr>
              <w:pStyle w:val="17"/>
            </w:pPr>
            <w:r>
              <w:t>废电解液</w:t>
            </w:r>
          </w:p>
        </w:tc>
        <w:tc>
          <w:tcPr>
            <w:tcW w:w="1663" w:type="dxa"/>
            <w:vAlign w:val="center"/>
          </w:tcPr>
          <w:p>
            <w:pPr>
              <w:pStyle w:val="17"/>
              <w:rPr>
                <w:lang w:eastAsia="en-US"/>
              </w:rPr>
            </w:pPr>
            <w:r>
              <w:t>3.72t/a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3.72t/a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1249" w:type="dxa"/>
            <w:vMerge w:val="continue"/>
            <w:vAlign w:val="center"/>
          </w:tcPr>
          <w:p>
            <w:pPr>
              <w:pStyle w:val="17"/>
            </w:pPr>
          </w:p>
        </w:tc>
        <w:tc>
          <w:tcPr>
            <w:tcW w:w="2329" w:type="dxa"/>
            <w:vAlign w:val="center"/>
          </w:tcPr>
          <w:p>
            <w:pPr>
              <w:pStyle w:val="17"/>
            </w:pPr>
            <w:r>
              <w:t>含乙醇棉布</w:t>
            </w:r>
          </w:p>
        </w:tc>
        <w:tc>
          <w:tcPr>
            <w:tcW w:w="1663" w:type="dxa"/>
            <w:vAlign w:val="center"/>
          </w:tcPr>
          <w:p>
            <w:pPr>
              <w:pStyle w:val="17"/>
            </w:pPr>
            <w:r>
              <w:t>0.02t/a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0.02t/a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continue"/>
            <w:vAlign w:val="center"/>
          </w:tcPr>
          <w:p>
            <w:pPr>
              <w:pStyle w:val="17"/>
            </w:pPr>
          </w:p>
        </w:tc>
        <w:tc>
          <w:tcPr>
            <w:tcW w:w="2329" w:type="dxa"/>
            <w:vAlign w:val="center"/>
          </w:tcPr>
          <w:p>
            <w:pPr>
              <w:pStyle w:val="17"/>
            </w:pPr>
            <w:r>
              <w:t>废测试液</w:t>
            </w:r>
          </w:p>
        </w:tc>
        <w:tc>
          <w:tcPr>
            <w:tcW w:w="1663" w:type="dxa"/>
            <w:vAlign w:val="center"/>
          </w:tcPr>
          <w:p>
            <w:pPr>
              <w:pStyle w:val="17"/>
            </w:pPr>
            <w:r>
              <w:t>1.682t/a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1.682t/a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continue"/>
            <w:vAlign w:val="center"/>
          </w:tcPr>
          <w:p>
            <w:pPr>
              <w:pStyle w:val="17"/>
            </w:pPr>
          </w:p>
        </w:tc>
        <w:tc>
          <w:tcPr>
            <w:tcW w:w="2329" w:type="dxa"/>
            <w:vAlign w:val="center"/>
          </w:tcPr>
          <w:p>
            <w:pPr>
              <w:pStyle w:val="17"/>
            </w:pPr>
            <w:r>
              <w:t>废抹布和手套</w:t>
            </w:r>
          </w:p>
        </w:tc>
        <w:tc>
          <w:tcPr>
            <w:tcW w:w="1663" w:type="dxa"/>
            <w:vAlign w:val="center"/>
          </w:tcPr>
          <w:p>
            <w:pPr>
              <w:pStyle w:val="17"/>
            </w:pPr>
            <w:r>
              <w:t>1t/a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rPr>
                <w:rFonts w:hint="default" w:eastAsia="宋体"/>
                <w:lang w:val="en-US" w:eastAsia="zh-CN"/>
              </w:rPr>
            </w:pPr>
            <w:r>
              <w:rPr>
                <w:rFonts w:hint="eastAsia"/>
              </w:rPr>
              <w:t>0</w:t>
            </w:r>
            <w:r>
              <w:rPr>
                <w:rFonts w:hint="eastAsia"/>
                <w:lang w:val="en-US" w:eastAsia="zh-CN"/>
              </w:rPr>
              <w:t>.1</w:t>
            </w:r>
            <w:r>
              <w:t>t/a</w:t>
            </w:r>
          </w:p>
        </w:tc>
        <w:tc>
          <w:tcPr>
            <w:tcW w:w="1407" w:type="dxa"/>
            <w:vAlign w:val="center"/>
          </w:tcPr>
          <w:p>
            <w:pPr>
              <w:pStyle w:val="17"/>
            </w:pPr>
            <w:r>
              <w:t>/</w:t>
            </w:r>
          </w:p>
        </w:tc>
        <w:tc>
          <w:tcPr>
            <w:tcW w:w="1756" w:type="dxa"/>
            <w:vAlign w:val="center"/>
          </w:tcPr>
          <w:p>
            <w:pPr>
              <w:pStyle w:val="17"/>
            </w:pPr>
            <w:r>
              <w:rPr>
                <w:rFonts w:hint="eastAsia"/>
                <w:lang w:val="en-US" w:eastAsia="zh-CN"/>
              </w:rPr>
              <w:t>1</w:t>
            </w:r>
            <w:r>
              <w:t>.1t/a</w:t>
            </w:r>
          </w:p>
        </w:tc>
        <w:tc>
          <w:tcPr>
            <w:tcW w:w="1437" w:type="dxa"/>
            <w:vAlign w:val="center"/>
          </w:tcPr>
          <w:p>
            <w:pPr>
              <w:pStyle w:val="17"/>
            </w:pPr>
            <w:r>
              <w:rPr>
                <w:rFonts w:hint="eastAsia"/>
                <w:lang w:val="en-US" w:eastAsia="zh-CN"/>
              </w:rPr>
              <w:t>+</w:t>
            </w:r>
            <w:r>
              <w:t>0.1t/a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continue"/>
            <w:vAlign w:val="center"/>
          </w:tcPr>
          <w:p>
            <w:pPr>
              <w:pStyle w:val="17"/>
            </w:pPr>
          </w:p>
        </w:tc>
        <w:tc>
          <w:tcPr>
            <w:tcW w:w="2329" w:type="dxa"/>
            <w:vAlign w:val="center"/>
          </w:tcPr>
          <w:p>
            <w:pPr>
              <w:pStyle w:val="17"/>
            </w:pPr>
            <w:r>
              <w:t>废活性炭</w:t>
            </w:r>
          </w:p>
        </w:tc>
        <w:tc>
          <w:tcPr>
            <w:tcW w:w="1663" w:type="dxa"/>
            <w:vAlign w:val="center"/>
          </w:tcPr>
          <w:p>
            <w:pPr>
              <w:pStyle w:val="17"/>
            </w:pPr>
            <w:r>
              <w:t>7.0796t/a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7.0796t/a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continue"/>
            <w:vAlign w:val="center"/>
          </w:tcPr>
          <w:p>
            <w:pPr>
              <w:pStyle w:val="17"/>
            </w:pPr>
          </w:p>
        </w:tc>
        <w:tc>
          <w:tcPr>
            <w:tcW w:w="2329" w:type="dxa"/>
            <w:vAlign w:val="center"/>
          </w:tcPr>
          <w:p>
            <w:pPr>
              <w:pStyle w:val="17"/>
            </w:pPr>
            <w:r>
              <w:t>废切削液</w:t>
            </w:r>
          </w:p>
        </w:tc>
        <w:tc>
          <w:tcPr>
            <w:tcW w:w="1663" w:type="dxa"/>
            <w:vAlign w:val="center"/>
          </w:tcPr>
          <w:p>
            <w:pPr>
              <w:pStyle w:val="17"/>
            </w:pPr>
            <w:r>
              <w:t>20t/a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20t/a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continue"/>
            <w:vAlign w:val="center"/>
          </w:tcPr>
          <w:p>
            <w:pPr>
              <w:pStyle w:val="17"/>
            </w:pPr>
          </w:p>
        </w:tc>
        <w:tc>
          <w:tcPr>
            <w:tcW w:w="2329" w:type="dxa"/>
            <w:vAlign w:val="center"/>
          </w:tcPr>
          <w:p>
            <w:pPr>
              <w:pStyle w:val="17"/>
            </w:pPr>
            <w:r>
              <w:t>含油滤渣</w:t>
            </w:r>
          </w:p>
        </w:tc>
        <w:tc>
          <w:tcPr>
            <w:tcW w:w="1663" w:type="dxa"/>
            <w:vAlign w:val="center"/>
          </w:tcPr>
          <w:p>
            <w:pPr>
              <w:pStyle w:val="17"/>
            </w:pPr>
            <w:r>
              <w:t>0.5t/a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0.5t/a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continue"/>
            <w:vAlign w:val="center"/>
          </w:tcPr>
          <w:p>
            <w:pPr>
              <w:pStyle w:val="17"/>
            </w:pPr>
          </w:p>
        </w:tc>
        <w:tc>
          <w:tcPr>
            <w:tcW w:w="2329" w:type="dxa"/>
            <w:vAlign w:val="center"/>
          </w:tcPr>
          <w:p>
            <w:pPr>
              <w:pStyle w:val="17"/>
            </w:pPr>
            <w:r>
              <w:t>污水处理污泥</w:t>
            </w:r>
          </w:p>
        </w:tc>
        <w:tc>
          <w:tcPr>
            <w:tcW w:w="1663" w:type="dxa"/>
            <w:vAlign w:val="center"/>
          </w:tcPr>
          <w:p>
            <w:pPr>
              <w:pStyle w:val="17"/>
            </w:pPr>
            <w:r>
              <w:t>1.36t/a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w:t>
            </w:r>
          </w:p>
        </w:tc>
        <w:tc>
          <w:tcPr>
            <w:tcW w:w="1407" w:type="dxa"/>
            <w:vAlign w:val="center"/>
          </w:tcPr>
          <w:p>
            <w:pPr>
              <w:pStyle w:val="17"/>
            </w:pPr>
            <w:r>
              <w:t>/</w:t>
            </w:r>
          </w:p>
        </w:tc>
        <w:tc>
          <w:tcPr>
            <w:tcW w:w="1756" w:type="dxa"/>
            <w:vAlign w:val="center"/>
          </w:tcPr>
          <w:p>
            <w:pPr>
              <w:pStyle w:val="17"/>
            </w:pPr>
            <w:r>
              <w:t>1.36t/a</w:t>
            </w:r>
          </w:p>
        </w:tc>
        <w:tc>
          <w:tcPr>
            <w:tcW w:w="1437" w:type="dxa"/>
            <w:vAlign w:val="center"/>
          </w:tcPr>
          <w:p>
            <w:pPr>
              <w:pStyle w:val="17"/>
            </w:pPr>
            <w:r>
              <w:rPr>
                <w:rFonts w:hint="eastAsia"/>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restart"/>
            <w:vAlign w:val="center"/>
          </w:tcPr>
          <w:p>
            <w:pPr>
              <w:pStyle w:val="17"/>
            </w:pPr>
            <w:r>
              <w:rPr>
                <w:rFonts w:hint="eastAsia"/>
              </w:rPr>
              <w:t>生活垃圾</w:t>
            </w:r>
          </w:p>
        </w:tc>
        <w:tc>
          <w:tcPr>
            <w:tcW w:w="2329" w:type="dxa"/>
            <w:vAlign w:val="center"/>
          </w:tcPr>
          <w:p>
            <w:pPr>
              <w:pStyle w:val="17"/>
            </w:pPr>
            <w:r>
              <w:t>生活垃圾</w:t>
            </w:r>
          </w:p>
        </w:tc>
        <w:tc>
          <w:tcPr>
            <w:tcW w:w="1663" w:type="dxa"/>
            <w:vAlign w:val="center"/>
          </w:tcPr>
          <w:p>
            <w:pPr>
              <w:pStyle w:val="17"/>
            </w:pPr>
            <w:r>
              <w:t>70.2t/a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2.25</w:t>
            </w:r>
            <w:r>
              <w:t>t/a</w:t>
            </w:r>
          </w:p>
        </w:tc>
        <w:tc>
          <w:tcPr>
            <w:tcW w:w="1407" w:type="dxa"/>
            <w:vAlign w:val="center"/>
          </w:tcPr>
          <w:p>
            <w:pPr>
              <w:pStyle w:val="17"/>
            </w:pPr>
            <w:r>
              <w:t>/</w:t>
            </w:r>
          </w:p>
        </w:tc>
        <w:tc>
          <w:tcPr>
            <w:tcW w:w="1756" w:type="dxa"/>
            <w:vAlign w:val="center"/>
          </w:tcPr>
          <w:p>
            <w:pPr>
              <w:pStyle w:val="17"/>
            </w:pPr>
            <w:r>
              <w:rPr>
                <w:rFonts w:hint="eastAsia"/>
              </w:rPr>
              <w:t>72.45</w:t>
            </w:r>
            <w:r>
              <w:t>t/a</w:t>
            </w:r>
          </w:p>
        </w:tc>
        <w:tc>
          <w:tcPr>
            <w:tcW w:w="1437" w:type="dxa"/>
            <w:vAlign w:val="center"/>
          </w:tcPr>
          <w:p>
            <w:pPr>
              <w:pStyle w:val="17"/>
            </w:pPr>
            <w:r>
              <w:rPr>
                <w:rFonts w:hint="eastAsia"/>
              </w:rPr>
              <w:t>+2.25</w:t>
            </w:r>
            <w: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continue"/>
            <w:vAlign w:val="center"/>
          </w:tcPr>
          <w:p>
            <w:pPr>
              <w:pStyle w:val="17"/>
            </w:pPr>
          </w:p>
        </w:tc>
        <w:tc>
          <w:tcPr>
            <w:tcW w:w="2329" w:type="dxa"/>
            <w:vAlign w:val="center"/>
          </w:tcPr>
          <w:p>
            <w:pPr>
              <w:pStyle w:val="17"/>
            </w:pPr>
            <w:r>
              <w:t>餐饮垃圾</w:t>
            </w:r>
          </w:p>
        </w:tc>
        <w:tc>
          <w:tcPr>
            <w:tcW w:w="1663" w:type="dxa"/>
            <w:vAlign w:val="center"/>
          </w:tcPr>
          <w:p>
            <w:pPr>
              <w:pStyle w:val="17"/>
            </w:pPr>
            <w:r>
              <w:t>127.75t/a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4.5</w:t>
            </w:r>
            <w:r>
              <w:t>t/a</w:t>
            </w:r>
          </w:p>
        </w:tc>
        <w:tc>
          <w:tcPr>
            <w:tcW w:w="1407" w:type="dxa"/>
            <w:vAlign w:val="center"/>
          </w:tcPr>
          <w:p>
            <w:pPr>
              <w:pStyle w:val="17"/>
            </w:pPr>
            <w:r>
              <w:t>/</w:t>
            </w:r>
          </w:p>
        </w:tc>
        <w:tc>
          <w:tcPr>
            <w:tcW w:w="1756" w:type="dxa"/>
            <w:vAlign w:val="center"/>
          </w:tcPr>
          <w:p>
            <w:pPr>
              <w:pStyle w:val="17"/>
            </w:pPr>
            <w:r>
              <w:rPr>
                <w:rFonts w:hint="eastAsia"/>
              </w:rPr>
              <w:t>132.25</w:t>
            </w:r>
            <w:r>
              <w:t>t/a</w:t>
            </w:r>
          </w:p>
        </w:tc>
        <w:tc>
          <w:tcPr>
            <w:tcW w:w="1437" w:type="dxa"/>
            <w:vAlign w:val="center"/>
          </w:tcPr>
          <w:p>
            <w:pPr>
              <w:pStyle w:val="17"/>
            </w:pPr>
            <w:r>
              <w:rPr>
                <w:rFonts w:hint="eastAsia"/>
              </w:rPr>
              <w:t>+4.5</w:t>
            </w:r>
            <w: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continue"/>
            <w:vAlign w:val="center"/>
          </w:tcPr>
          <w:p>
            <w:pPr>
              <w:pStyle w:val="17"/>
            </w:pPr>
          </w:p>
        </w:tc>
        <w:tc>
          <w:tcPr>
            <w:tcW w:w="2329" w:type="dxa"/>
            <w:vAlign w:val="center"/>
          </w:tcPr>
          <w:p>
            <w:pPr>
              <w:pStyle w:val="17"/>
            </w:pPr>
            <w:r>
              <w:t>废油脂</w:t>
            </w:r>
          </w:p>
        </w:tc>
        <w:tc>
          <w:tcPr>
            <w:tcW w:w="1663" w:type="dxa"/>
            <w:vAlign w:val="center"/>
          </w:tcPr>
          <w:p>
            <w:pPr>
              <w:pStyle w:val="17"/>
            </w:pPr>
            <w:r>
              <w:t>0.39t/a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0.0135</w:t>
            </w:r>
            <w:r>
              <w:t>t/a</w:t>
            </w:r>
          </w:p>
        </w:tc>
        <w:tc>
          <w:tcPr>
            <w:tcW w:w="1407" w:type="dxa"/>
            <w:vAlign w:val="center"/>
          </w:tcPr>
          <w:p>
            <w:pPr>
              <w:pStyle w:val="17"/>
            </w:pPr>
            <w:r>
              <w:t>/</w:t>
            </w:r>
          </w:p>
        </w:tc>
        <w:tc>
          <w:tcPr>
            <w:tcW w:w="1756" w:type="dxa"/>
            <w:vAlign w:val="center"/>
          </w:tcPr>
          <w:p>
            <w:pPr>
              <w:pStyle w:val="17"/>
            </w:pPr>
            <w:r>
              <w:rPr>
                <w:rFonts w:hint="eastAsia"/>
              </w:rPr>
              <w:t>0.4035</w:t>
            </w:r>
            <w:r>
              <w:t>t/a</w:t>
            </w:r>
          </w:p>
        </w:tc>
        <w:tc>
          <w:tcPr>
            <w:tcW w:w="1437" w:type="dxa"/>
            <w:vAlign w:val="center"/>
          </w:tcPr>
          <w:p>
            <w:pPr>
              <w:pStyle w:val="17"/>
            </w:pPr>
            <w:r>
              <w:rPr>
                <w:rFonts w:hint="eastAsia"/>
              </w:rPr>
              <w:t>+0.0135</w:t>
            </w:r>
            <w:r>
              <w:t>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1249" w:type="dxa"/>
            <w:vMerge w:val="continue"/>
            <w:vAlign w:val="center"/>
          </w:tcPr>
          <w:p>
            <w:pPr>
              <w:pStyle w:val="17"/>
            </w:pPr>
          </w:p>
        </w:tc>
        <w:tc>
          <w:tcPr>
            <w:tcW w:w="2329" w:type="dxa"/>
            <w:vAlign w:val="center"/>
          </w:tcPr>
          <w:p>
            <w:pPr>
              <w:pStyle w:val="17"/>
            </w:pPr>
            <w:r>
              <w:t>化粪池污泥</w:t>
            </w:r>
          </w:p>
        </w:tc>
        <w:tc>
          <w:tcPr>
            <w:tcW w:w="1663" w:type="dxa"/>
            <w:vAlign w:val="center"/>
          </w:tcPr>
          <w:p>
            <w:pPr>
              <w:pStyle w:val="17"/>
            </w:pPr>
            <w:r>
              <w:t>4t/a</w:t>
            </w:r>
          </w:p>
        </w:tc>
        <w:tc>
          <w:tcPr>
            <w:tcW w:w="1105" w:type="dxa"/>
            <w:vAlign w:val="center"/>
          </w:tcPr>
          <w:p>
            <w:pPr>
              <w:pStyle w:val="17"/>
            </w:pPr>
            <w:r>
              <w:t>/</w:t>
            </w:r>
          </w:p>
        </w:tc>
        <w:tc>
          <w:tcPr>
            <w:tcW w:w="1717" w:type="dxa"/>
            <w:vAlign w:val="center"/>
          </w:tcPr>
          <w:p>
            <w:pPr>
              <w:pStyle w:val="17"/>
            </w:pPr>
            <w:r>
              <w:t>/</w:t>
            </w:r>
          </w:p>
        </w:tc>
        <w:tc>
          <w:tcPr>
            <w:tcW w:w="1574" w:type="dxa"/>
            <w:vAlign w:val="center"/>
          </w:tcPr>
          <w:p>
            <w:pPr>
              <w:pStyle w:val="17"/>
            </w:pPr>
            <w:r>
              <w:rPr>
                <w:rFonts w:hint="eastAsia"/>
              </w:rPr>
              <w:t>0.2</w:t>
            </w:r>
            <w:r>
              <w:t>t/a</w:t>
            </w:r>
          </w:p>
        </w:tc>
        <w:tc>
          <w:tcPr>
            <w:tcW w:w="1407" w:type="dxa"/>
            <w:vAlign w:val="center"/>
          </w:tcPr>
          <w:p>
            <w:pPr>
              <w:pStyle w:val="17"/>
            </w:pPr>
            <w:r>
              <w:t>/</w:t>
            </w:r>
          </w:p>
        </w:tc>
        <w:tc>
          <w:tcPr>
            <w:tcW w:w="1756" w:type="dxa"/>
            <w:vAlign w:val="center"/>
          </w:tcPr>
          <w:p>
            <w:pPr>
              <w:pStyle w:val="17"/>
            </w:pPr>
            <w:r>
              <w:rPr>
                <w:rFonts w:hint="eastAsia"/>
              </w:rPr>
              <w:t>4.2</w:t>
            </w:r>
            <w:r>
              <w:t>t/a</w:t>
            </w:r>
          </w:p>
        </w:tc>
        <w:tc>
          <w:tcPr>
            <w:tcW w:w="1437" w:type="dxa"/>
            <w:vAlign w:val="center"/>
          </w:tcPr>
          <w:p>
            <w:pPr>
              <w:pStyle w:val="17"/>
            </w:pPr>
            <w:r>
              <w:rPr>
                <w:rFonts w:hint="eastAsia"/>
              </w:rPr>
              <w:t>+0.2</w:t>
            </w:r>
            <w:r>
              <w:t>t/a</w:t>
            </w:r>
          </w:p>
        </w:tc>
      </w:tr>
    </w:tbl>
    <w:p>
      <w:pPr>
        <w:pStyle w:val="8"/>
        <w:ind w:firstLine="480"/>
      </w:pPr>
      <w:r>
        <w:t>注：⑥=①+③+④-⑤</w:t>
      </w:r>
      <w:r>
        <w:rPr>
          <w:rFonts w:hint="eastAsia"/>
          <w:lang w:eastAsia="zh-CN"/>
        </w:rPr>
        <w:t>；</w:t>
      </w:r>
      <w:r>
        <w:t>⑦=⑥-①</w:t>
      </w:r>
    </w:p>
    <w:p/>
    <w:p/>
    <w:sectPr>
      <w:pgSz w:w="16838" w:h="11906" w:orient="landscape"/>
      <w:pgMar w:top="1531" w:right="1701" w:bottom="1531" w:left="1701"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1"/>
    <w:family w:val="roma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6"/>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lkYjMxYzk5YzQ0YWQ4NWM5YzYxNjk0NmM2NTRkNDIifQ=="/>
  </w:docVars>
  <w:rsids>
    <w:rsidRoot w:val="00172A27"/>
    <w:rsid w:val="00172A27"/>
    <w:rsid w:val="00225012"/>
    <w:rsid w:val="002A1B94"/>
    <w:rsid w:val="003E31E0"/>
    <w:rsid w:val="0041191E"/>
    <w:rsid w:val="006E05BE"/>
    <w:rsid w:val="008E357A"/>
    <w:rsid w:val="00965014"/>
    <w:rsid w:val="009F2E6D"/>
    <w:rsid w:val="00AD0C93"/>
    <w:rsid w:val="00B801A2"/>
    <w:rsid w:val="00B95CDD"/>
    <w:rsid w:val="00C17164"/>
    <w:rsid w:val="00E75E85"/>
    <w:rsid w:val="00F06FEA"/>
    <w:rsid w:val="012B4701"/>
    <w:rsid w:val="013F542C"/>
    <w:rsid w:val="015967A2"/>
    <w:rsid w:val="01A62EED"/>
    <w:rsid w:val="021358C1"/>
    <w:rsid w:val="02427521"/>
    <w:rsid w:val="02640B26"/>
    <w:rsid w:val="026E67DA"/>
    <w:rsid w:val="028711AE"/>
    <w:rsid w:val="03F1578E"/>
    <w:rsid w:val="03FF396C"/>
    <w:rsid w:val="04055096"/>
    <w:rsid w:val="04137915"/>
    <w:rsid w:val="04561A95"/>
    <w:rsid w:val="047A5783"/>
    <w:rsid w:val="047B079B"/>
    <w:rsid w:val="047F2D99"/>
    <w:rsid w:val="04C9495C"/>
    <w:rsid w:val="04DD3213"/>
    <w:rsid w:val="04E15802"/>
    <w:rsid w:val="04F217BD"/>
    <w:rsid w:val="05151950"/>
    <w:rsid w:val="054D10EA"/>
    <w:rsid w:val="058D5312"/>
    <w:rsid w:val="05BB42A5"/>
    <w:rsid w:val="063B3638"/>
    <w:rsid w:val="06420522"/>
    <w:rsid w:val="064416AA"/>
    <w:rsid w:val="0686476F"/>
    <w:rsid w:val="06905732"/>
    <w:rsid w:val="076A2860"/>
    <w:rsid w:val="07831753"/>
    <w:rsid w:val="07E72244"/>
    <w:rsid w:val="07EB02CF"/>
    <w:rsid w:val="0811309B"/>
    <w:rsid w:val="082A39F2"/>
    <w:rsid w:val="08536A17"/>
    <w:rsid w:val="085E716A"/>
    <w:rsid w:val="088B30FD"/>
    <w:rsid w:val="0895702F"/>
    <w:rsid w:val="089B216C"/>
    <w:rsid w:val="089F1C5C"/>
    <w:rsid w:val="08D74597"/>
    <w:rsid w:val="08F875BE"/>
    <w:rsid w:val="09906FBF"/>
    <w:rsid w:val="099B2D17"/>
    <w:rsid w:val="09A82D92"/>
    <w:rsid w:val="09B34085"/>
    <w:rsid w:val="09CE4371"/>
    <w:rsid w:val="09EB0ED1"/>
    <w:rsid w:val="0A625403"/>
    <w:rsid w:val="0A6D18E6"/>
    <w:rsid w:val="0A6E28F8"/>
    <w:rsid w:val="0A911C42"/>
    <w:rsid w:val="0AB61D52"/>
    <w:rsid w:val="0AC43C12"/>
    <w:rsid w:val="0AF83348"/>
    <w:rsid w:val="0B077F8D"/>
    <w:rsid w:val="0B1E3145"/>
    <w:rsid w:val="0B2B4CE0"/>
    <w:rsid w:val="0B333DF1"/>
    <w:rsid w:val="0B3F14D4"/>
    <w:rsid w:val="0B3F3282"/>
    <w:rsid w:val="0B550CF8"/>
    <w:rsid w:val="0B5F1B77"/>
    <w:rsid w:val="0B63031E"/>
    <w:rsid w:val="0B680A2B"/>
    <w:rsid w:val="0B6902FF"/>
    <w:rsid w:val="0B8E420A"/>
    <w:rsid w:val="0BE20898"/>
    <w:rsid w:val="0C4C3EA9"/>
    <w:rsid w:val="0C9D5784"/>
    <w:rsid w:val="0CCE2B10"/>
    <w:rsid w:val="0CDA7707"/>
    <w:rsid w:val="0D186481"/>
    <w:rsid w:val="0D2B56A9"/>
    <w:rsid w:val="0D456722"/>
    <w:rsid w:val="0D6F0149"/>
    <w:rsid w:val="0D8C55AE"/>
    <w:rsid w:val="0DA970D9"/>
    <w:rsid w:val="0DE058D8"/>
    <w:rsid w:val="0DE72D55"/>
    <w:rsid w:val="0DE87227"/>
    <w:rsid w:val="0DF36AFF"/>
    <w:rsid w:val="0E042561"/>
    <w:rsid w:val="0E075FEE"/>
    <w:rsid w:val="0E5B2EBF"/>
    <w:rsid w:val="0ED03E48"/>
    <w:rsid w:val="0F470958"/>
    <w:rsid w:val="0F557518"/>
    <w:rsid w:val="0F73174D"/>
    <w:rsid w:val="0F7B0D6D"/>
    <w:rsid w:val="0FAE08F9"/>
    <w:rsid w:val="0FC63F72"/>
    <w:rsid w:val="100144D1"/>
    <w:rsid w:val="10086339"/>
    <w:rsid w:val="106F460A"/>
    <w:rsid w:val="10882B58"/>
    <w:rsid w:val="10FE68DF"/>
    <w:rsid w:val="110034B4"/>
    <w:rsid w:val="11390774"/>
    <w:rsid w:val="11570EAC"/>
    <w:rsid w:val="115A177E"/>
    <w:rsid w:val="11B01FE6"/>
    <w:rsid w:val="11C12B01"/>
    <w:rsid w:val="11C95F9C"/>
    <w:rsid w:val="127919BF"/>
    <w:rsid w:val="129B2345"/>
    <w:rsid w:val="12BC5F85"/>
    <w:rsid w:val="136B15CD"/>
    <w:rsid w:val="136F089E"/>
    <w:rsid w:val="13A91BE1"/>
    <w:rsid w:val="13AB6AFA"/>
    <w:rsid w:val="13AF2F6F"/>
    <w:rsid w:val="13D510E3"/>
    <w:rsid w:val="13EB044B"/>
    <w:rsid w:val="13FD2223"/>
    <w:rsid w:val="14131750"/>
    <w:rsid w:val="145E0830"/>
    <w:rsid w:val="14AC513B"/>
    <w:rsid w:val="14AF76CB"/>
    <w:rsid w:val="14C230F3"/>
    <w:rsid w:val="14CD142E"/>
    <w:rsid w:val="14EA3406"/>
    <w:rsid w:val="151A6D63"/>
    <w:rsid w:val="15363948"/>
    <w:rsid w:val="15A22CCB"/>
    <w:rsid w:val="15B45F56"/>
    <w:rsid w:val="15C40F54"/>
    <w:rsid w:val="15D8055B"/>
    <w:rsid w:val="15E62E7C"/>
    <w:rsid w:val="163B5B8B"/>
    <w:rsid w:val="16512598"/>
    <w:rsid w:val="16513DF6"/>
    <w:rsid w:val="16526560"/>
    <w:rsid w:val="168B3880"/>
    <w:rsid w:val="16EA49EA"/>
    <w:rsid w:val="170B670F"/>
    <w:rsid w:val="17484A5C"/>
    <w:rsid w:val="175C1DB1"/>
    <w:rsid w:val="17703571"/>
    <w:rsid w:val="17991F6C"/>
    <w:rsid w:val="17E449A6"/>
    <w:rsid w:val="17E50965"/>
    <w:rsid w:val="17E7717C"/>
    <w:rsid w:val="17EA27C8"/>
    <w:rsid w:val="18243F2C"/>
    <w:rsid w:val="18291542"/>
    <w:rsid w:val="18490F6E"/>
    <w:rsid w:val="187327BD"/>
    <w:rsid w:val="18810925"/>
    <w:rsid w:val="18896025"/>
    <w:rsid w:val="18AB1F57"/>
    <w:rsid w:val="18B31B6D"/>
    <w:rsid w:val="18B613D9"/>
    <w:rsid w:val="18D019BE"/>
    <w:rsid w:val="18D81F5E"/>
    <w:rsid w:val="18E831AB"/>
    <w:rsid w:val="192817FA"/>
    <w:rsid w:val="196565AA"/>
    <w:rsid w:val="19696020"/>
    <w:rsid w:val="19A31EA5"/>
    <w:rsid w:val="19DB686C"/>
    <w:rsid w:val="1A3047D2"/>
    <w:rsid w:val="1A562397"/>
    <w:rsid w:val="1A767307"/>
    <w:rsid w:val="1A880D79"/>
    <w:rsid w:val="1AAD5FFC"/>
    <w:rsid w:val="1AEA0BD6"/>
    <w:rsid w:val="1AF86EDC"/>
    <w:rsid w:val="1AF9177B"/>
    <w:rsid w:val="1B005AA2"/>
    <w:rsid w:val="1B122762"/>
    <w:rsid w:val="1B441119"/>
    <w:rsid w:val="1B650AE3"/>
    <w:rsid w:val="1B8842A1"/>
    <w:rsid w:val="1B9A4616"/>
    <w:rsid w:val="1BDE43F2"/>
    <w:rsid w:val="1C33298F"/>
    <w:rsid w:val="1C8D4D7A"/>
    <w:rsid w:val="1CC21F65"/>
    <w:rsid w:val="1CD970E6"/>
    <w:rsid w:val="1CE04199"/>
    <w:rsid w:val="1CFC7225"/>
    <w:rsid w:val="1CFE1E89"/>
    <w:rsid w:val="1D266454"/>
    <w:rsid w:val="1D2C098E"/>
    <w:rsid w:val="1D715A06"/>
    <w:rsid w:val="1D85546D"/>
    <w:rsid w:val="1DB7365F"/>
    <w:rsid w:val="1DF443A0"/>
    <w:rsid w:val="1E11280A"/>
    <w:rsid w:val="1E200CF1"/>
    <w:rsid w:val="1E326C77"/>
    <w:rsid w:val="1E340C41"/>
    <w:rsid w:val="1E437164"/>
    <w:rsid w:val="1E7456E8"/>
    <w:rsid w:val="1EA25383"/>
    <w:rsid w:val="1EB37DB8"/>
    <w:rsid w:val="1ECB6078"/>
    <w:rsid w:val="1ED55F80"/>
    <w:rsid w:val="1EDA3596"/>
    <w:rsid w:val="1EED2920"/>
    <w:rsid w:val="1F35399F"/>
    <w:rsid w:val="1F3A4035"/>
    <w:rsid w:val="1F86727A"/>
    <w:rsid w:val="1F9F20EA"/>
    <w:rsid w:val="1FDF6409"/>
    <w:rsid w:val="200F7E6B"/>
    <w:rsid w:val="20152541"/>
    <w:rsid w:val="203019F4"/>
    <w:rsid w:val="2059696C"/>
    <w:rsid w:val="205E73F1"/>
    <w:rsid w:val="207C43F8"/>
    <w:rsid w:val="20B46686"/>
    <w:rsid w:val="20DB683A"/>
    <w:rsid w:val="20DD55C0"/>
    <w:rsid w:val="21130FE1"/>
    <w:rsid w:val="21423675"/>
    <w:rsid w:val="215A2AE1"/>
    <w:rsid w:val="215F7D83"/>
    <w:rsid w:val="218B6DCA"/>
    <w:rsid w:val="218C7F8D"/>
    <w:rsid w:val="219752BD"/>
    <w:rsid w:val="21D02A2F"/>
    <w:rsid w:val="21DC7625"/>
    <w:rsid w:val="21FE232D"/>
    <w:rsid w:val="22034BB2"/>
    <w:rsid w:val="2234120F"/>
    <w:rsid w:val="22361730"/>
    <w:rsid w:val="22502D13"/>
    <w:rsid w:val="225B679C"/>
    <w:rsid w:val="22617115"/>
    <w:rsid w:val="22717D6E"/>
    <w:rsid w:val="22DB168B"/>
    <w:rsid w:val="23005249"/>
    <w:rsid w:val="23595B43"/>
    <w:rsid w:val="236F0896"/>
    <w:rsid w:val="23763FD0"/>
    <w:rsid w:val="23A613C8"/>
    <w:rsid w:val="23BB5688"/>
    <w:rsid w:val="23D93347"/>
    <w:rsid w:val="241C548B"/>
    <w:rsid w:val="246B6A3F"/>
    <w:rsid w:val="247E49C4"/>
    <w:rsid w:val="24A3007C"/>
    <w:rsid w:val="24B403E6"/>
    <w:rsid w:val="24CF3471"/>
    <w:rsid w:val="24D90223"/>
    <w:rsid w:val="24E0567E"/>
    <w:rsid w:val="253305D1"/>
    <w:rsid w:val="254B6F9C"/>
    <w:rsid w:val="257139A1"/>
    <w:rsid w:val="258424AE"/>
    <w:rsid w:val="25BB0A6F"/>
    <w:rsid w:val="25C40AFC"/>
    <w:rsid w:val="25C96113"/>
    <w:rsid w:val="25DD39AD"/>
    <w:rsid w:val="25EB7E37"/>
    <w:rsid w:val="25EF6312"/>
    <w:rsid w:val="25FC2044"/>
    <w:rsid w:val="267C312E"/>
    <w:rsid w:val="267E6EFD"/>
    <w:rsid w:val="26B119D0"/>
    <w:rsid w:val="26BB3CAD"/>
    <w:rsid w:val="26D22102"/>
    <w:rsid w:val="26D7485F"/>
    <w:rsid w:val="26DE799C"/>
    <w:rsid w:val="26E23E89"/>
    <w:rsid w:val="27225ADA"/>
    <w:rsid w:val="274517C9"/>
    <w:rsid w:val="27452D6D"/>
    <w:rsid w:val="2752285E"/>
    <w:rsid w:val="27895B59"/>
    <w:rsid w:val="27E54B3B"/>
    <w:rsid w:val="27F84A8D"/>
    <w:rsid w:val="28153BB7"/>
    <w:rsid w:val="282B120A"/>
    <w:rsid w:val="2842145A"/>
    <w:rsid w:val="28656026"/>
    <w:rsid w:val="28846321"/>
    <w:rsid w:val="28B27C52"/>
    <w:rsid w:val="28B7736C"/>
    <w:rsid w:val="299132A9"/>
    <w:rsid w:val="29A053DC"/>
    <w:rsid w:val="29A2214B"/>
    <w:rsid w:val="2A1D101E"/>
    <w:rsid w:val="2ACC7E8A"/>
    <w:rsid w:val="2AF54989"/>
    <w:rsid w:val="2B193698"/>
    <w:rsid w:val="2B8C79C6"/>
    <w:rsid w:val="2BB1567F"/>
    <w:rsid w:val="2C576226"/>
    <w:rsid w:val="2C78619D"/>
    <w:rsid w:val="2C7A0167"/>
    <w:rsid w:val="2C7E7C57"/>
    <w:rsid w:val="2C8A73E8"/>
    <w:rsid w:val="2C8C3B7C"/>
    <w:rsid w:val="2CE35D0C"/>
    <w:rsid w:val="2D0324B7"/>
    <w:rsid w:val="2D0D0FDB"/>
    <w:rsid w:val="2D1E0AF2"/>
    <w:rsid w:val="2D254B40"/>
    <w:rsid w:val="2D472000"/>
    <w:rsid w:val="2D856DC3"/>
    <w:rsid w:val="2DCC67A0"/>
    <w:rsid w:val="2DEC6E42"/>
    <w:rsid w:val="2E051D0E"/>
    <w:rsid w:val="2E494946"/>
    <w:rsid w:val="2EA5487E"/>
    <w:rsid w:val="2EAA3725"/>
    <w:rsid w:val="2EC13E2B"/>
    <w:rsid w:val="2EEE0998"/>
    <w:rsid w:val="2EF275EA"/>
    <w:rsid w:val="2F1202AE"/>
    <w:rsid w:val="2F237FA6"/>
    <w:rsid w:val="2F722821"/>
    <w:rsid w:val="2FC738B3"/>
    <w:rsid w:val="2FE6700E"/>
    <w:rsid w:val="300264A9"/>
    <w:rsid w:val="30186D9C"/>
    <w:rsid w:val="304C1E1A"/>
    <w:rsid w:val="306F0A59"/>
    <w:rsid w:val="30823A8E"/>
    <w:rsid w:val="30CE5FD9"/>
    <w:rsid w:val="30DD248E"/>
    <w:rsid w:val="30EE2159"/>
    <w:rsid w:val="319121DA"/>
    <w:rsid w:val="31A35A6A"/>
    <w:rsid w:val="31F53155"/>
    <w:rsid w:val="323F427D"/>
    <w:rsid w:val="325356E2"/>
    <w:rsid w:val="3291620A"/>
    <w:rsid w:val="329A50BF"/>
    <w:rsid w:val="32B53CA7"/>
    <w:rsid w:val="32E53E60"/>
    <w:rsid w:val="330E785B"/>
    <w:rsid w:val="33386686"/>
    <w:rsid w:val="334A6AE9"/>
    <w:rsid w:val="33591C84"/>
    <w:rsid w:val="335C6818"/>
    <w:rsid w:val="33665DEA"/>
    <w:rsid w:val="339F7E6B"/>
    <w:rsid w:val="33C45442"/>
    <w:rsid w:val="33DD1D4C"/>
    <w:rsid w:val="340F73E6"/>
    <w:rsid w:val="341268E9"/>
    <w:rsid w:val="34180991"/>
    <w:rsid w:val="341F322A"/>
    <w:rsid w:val="34231212"/>
    <w:rsid w:val="3425669C"/>
    <w:rsid w:val="34580D8D"/>
    <w:rsid w:val="346408E5"/>
    <w:rsid w:val="34CD0539"/>
    <w:rsid w:val="34EF7A12"/>
    <w:rsid w:val="351153E0"/>
    <w:rsid w:val="35496928"/>
    <w:rsid w:val="35B52561"/>
    <w:rsid w:val="35BD2BA5"/>
    <w:rsid w:val="35C661CB"/>
    <w:rsid w:val="35EB5C31"/>
    <w:rsid w:val="3637097E"/>
    <w:rsid w:val="36666714"/>
    <w:rsid w:val="36BA08DC"/>
    <w:rsid w:val="36D641AB"/>
    <w:rsid w:val="36FA081A"/>
    <w:rsid w:val="37076A9B"/>
    <w:rsid w:val="374C0952"/>
    <w:rsid w:val="37732682"/>
    <w:rsid w:val="377D41C9"/>
    <w:rsid w:val="37C87FD8"/>
    <w:rsid w:val="37D46847"/>
    <w:rsid w:val="384855BD"/>
    <w:rsid w:val="384D1667"/>
    <w:rsid w:val="3862042D"/>
    <w:rsid w:val="38B7004D"/>
    <w:rsid w:val="38BB6505"/>
    <w:rsid w:val="38E76B84"/>
    <w:rsid w:val="39243934"/>
    <w:rsid w:val="392C0A3B"/>
    <w:rsid w:val="39671A73"/>
    <w:rsid w:val="397877DC"/>
    <w:rsid w:val="397A79F8"/>
    <w:rsid w:val="398C4292"/>
    <w:rsid w:val="398E5251"/>
    <w:rsid w:val="39C41A7B"/>
    <w:rsid w:val="39D76BF8"/>
    <w:rsid w:val="39FC21BB"/>
    <w:rsid w:val="3A03112B"/>
    <w:rsid w:val="3A0374D1"/>
    <w:rsid w:val="3A322081"/>
    <w:rsid w:val="3A7E0E22"/>
    <w:rsid w:val="3AC0768C"/>
    <w:rsid w:val="3AEA64B7"/>
    <w:rsid w:val="3B1D688D"/>
    <w:rsid w:val="3B36794F"/>
    <w:rsid w:val="3B457B92"/>
    <w:rsid w:val="3B4A51A8"/>
    <w:rsid w:val="3BBA232E"/>
    <w:rsid w:val="3BEB24E7"/>
    <w:rsid w:val="3C095063"/>
    <w:rsid w:val="3C1A71B0"/>
    <w:rsid w:val="3C1E0B0E"/>
    <w:rsid w:val="3C8E5B9D"/>
    <w:rsid w:val="3CA36EF1"/>
    <w:rsid w:val="3CA60B04"/>
    <w:rsid w:val="3CAF456A"/>
    <w:rsid w:val="3CC22182"/>
    <w:rsid w:val="3CD411CD"/>
    <w:rsid w:val="3CF01FCD"/>
    <w:rsid w:val="3CF278A5"/>
    <w:rsid w:val="3D1E069A"/>
    <w:rsid w:val="3D231C22"/>
    <w:rsid w:val="3D42082D"/>
    <w:rsid w:val="3D5B544A"/>
    <w:rsid w:val="3D5D7415"/>
    <w:rsid w:val="3DBE7816"/>
    <w:rsid w:val="3DE956E7"/>
    <w:rsid w:val="3DF80EEB"/>
    <w:rsid w:val="3E3A5BA6"/>
    <w:rsid w:val="3E3B796C"/>
    <w:rsid w:val="3E916CCD"/>
    <w:rsid w:val="3E994DA1"/>
    <w:rsid w:val="3EA64DEB"/>
    <w:rsid w:val="3EAD46C9"/>
    <w:rsid w:val="3EC14A41"/>
    <w:rsid w:val="3EF47546"/>
    <w:rsid w:val="3EF73899"/>
    <w:rsid w:val="3F2B2ECB"/>
    <w:rsid w:val="3F2C64D9"/>
    <w:rsid w:val="3F4D5B19"/>
    <w:rsid w:val="3F5139F3"/>
    <w:rsid w:val="3F5900B0"/>
    <w:rsid w:val="3F623B13"/>
    <w:rsid w:val="3F632CDC"/>
    <w:rsid w:val="3F672B4E"/>
    <w:rsid w:val="3F732F1F"/>
    <w:rsid w:val="3F946154"/>
    <w:rsid w:val="3FA21D9D"/>
    <w:rsid w:val="3FBF2D6B"/>
    <w:rsid w:val="3FE536F1"/>
    <w:rsid w:val="3FEB51AC"/>
    <w:rsid w:val="406A5E3B"/>
    <w:rsid w:val="406E1939"/>
    <w:rsid w:val="408D1DBF"/>
    <w:rsid w:val="4093314D"/>
    <w:rsid w:val="40A85481"/>
    <w:rsid w:val="40AB493B"/>
    <w:rsid w:val="40DF3C0B"/>
    <w:rsid w:val="40FF5D3C"/>
    <w:rsid w:val="410D4CAE"/>
    <w:rsid w:val="41326E98"/>
    <w:rsid w:val="414A78DB"/>
    <w:rsid w:val="41792343"/>
    <w:rsid w:val="41831414"/>
    <w:rsid w:val="419F6289"/>
    <w:rsid w:val="41A65D80"/>
    <w:rsid w:val="41AA2395"/>
    <w:rsid w:val="41B617E9"/>
    <w:rsid w:val="41C07F72"/>
    <w:rsid w:val="41DA7286"/>
    <w:rsid w:val="420B38E3"/>
    <w:rsid w:val="421556B7"/>
    <w:rsid w:val="422229DB"/>
    <w:rsid w:val="425D18FC"/>
    <w:rsid w:val="426113AB"/>
    <w:rsid w:val="42C121F4"/>
    <w:rsid w:val="43217136"/>
    <w:rsid w:val="432A5ABE"/>
    <w:rsid w:val="434A043B"/>
    <w:rsid w:val="435E33D7"/>
    <w:rsid w:val="43CB2932"/>
    <w:rsid w:val="43D63A7D"/>
    <w:rsid w:val="43ED0DC6"/>
    <w:rsid w:val="441A7E0D"/>
    <w:rsid w:val="44226CC2"/>
    <w:rsid w:val="44487991"/>
    <w:rsid w:val="445F4171"/>
    <w:rsid w:val="446A68AD"/>
    <w:rsid w:val="44B10046"/>
    <w:rsid w:val="44BC7116"/>
    <w:rsid w:val="44D12877"/>
    <w:rsid w:val="44DD5C6F"/>
    <w:rsid w:val="44DF2E05"/>
    <w:rsid w:val="44E4041B"/>
    <w:rsid w:val="45327257"/>
    <w:rsid w:val="456142F3"/>
    <w:rsid w:val="456B28EB"/>
    <w:rsid w:val="4571013B"/>
    <w:rsid w:val="45737205"/>
    <w:rsid w:val="45813EBC"/>
    <w:rsid w:val="45AB0C2C"/>
    <w:rsid w:val="45C85647"/>
    <w:rsid w:val="46081EE8"/>
    <w:rsid w:val="461720E8"/>
    <w:rsid w:val="46544EA3"/>
    <w:rsid w:val="46674E60"/>
    <w:rsid w:val="467F05D6"/>
    <w:rsid w:val="4698326B"/>
    <w:rsid w:val="46D70648"/>
    <w:rsid w:val="46FE2974"/>
    <w:rsid w:val="474D43C2"/>
    <w:rsid w:val="477A6E15"/>
    <w:rsid w:val="47C479A8"/>
    <w:rsid w:val="47CC58C3"/>
    <w:rsid w:val="47D6098A"/>
    <w:rsid w:val="47F06A69"/>
    <w:rsid w:val="47FD3CCE"/>
    <w:rsid w:val="482B1998"/>
    <w:rsid w:val="48606381"/>
    <w:rsid w:val="48691363"/>
    <w:rsid w:val="486F624E"/>
    <w:rsid w:val="48757D08"/>
    <w:rsid w:val="48862C62"/>
    <w:rsid w:val="48C931B7"/>
    <w:rsid w:val="48CA1C78"/>
    <w:rsid w:val="48D80297"/>
    <w:rsid w:val="49004B12"/>
    <w:rsid w:val="492359B6"/>
    <w:rsid w:val="492B4235"/>
    <w:rsid w:val="495F1A08"/>
    <w:rsid w:val="49690EEF"/>
    <w:rsid w:val="496E4757"/>
    <w:rsid w:val="4A0A4F89"/>
    <w:rsid w:val="4A835FE1"/>
    <w:rsid w:val="4AAA7A11"/>
    <w:rsid w:val="4ABB39CC"/>
    <w:rsid w:val="4ABE4F55"/>
    <w:rsid w:val="4ACD66AA"/>
    <w:rsid w:val="4AFB1CF7"/>
    <w:rsid w:val="4B094738"/>
    <w:rsid w:val="4B157580"/>
    <w:rsid w:val="4B1F3F5B"/>
    <w:rsid w:val="4B961990"/>
    <w:rsid w:val="4BA10E14"/>
    <w:rsid w:val="4C03562B"/>
    <w:rsid w:val="4C4C1669"/>
    <w:rsid w:val="4C4E7751"/>
    <w:rsid w:val="4C812CFF"/>
    <w:rsid w:val="4C883D82"/>
    <w:rsid w:val="4C8B1EE4"/>
    <w:rsid w:val="4CC50B32"/>
    <w:rsid w:val="4D1E34D5"/>
    <w:rsid w:val="4D302867"/>
    <w:rsid w:val="4D4E0B28"/>
    <w:rsid w:val="4D64034B"/>
    <w:rsid w:val="4D6D5452"/>
    <w:rsid w:val="4D750818"/>
    <w:rsid w:val="4D8125CD"/>
    <w:rsid w:val="4DD3727F"/>
    <w:rsid w:val="4DDD0570"/>
    <w:rsid w:val="4DE4148C"/>
    <w:rsid w:val="4DF654AA"/>
    <w:rsid w:val="4E0104D4"/>
    <w:rsid w:val="4E131761"/>
    <w:rsid w:val="4E233D62"/>
    <w:rsid w:val="4E9133C2"/>
    <w:rsid w:val="4E952649"/>
    <w:rsid w:val="4EAF1A9A"/>
    <w:rsid w:val="4EB726FD"/>
    <w:rsid w:val="4EC106FD"/>
    <w:rsid w:val="4EC2756F"/>
    <w:rsid w:val="4F0973FC"/>
    <w:rsid w:val="4F165675"/>
    <w:rsid w:val="4F246053"/>
    <w:rsid w:val="4F3C6249"/>
    <w:rsid w:val="4F50355D"/>
    <w:rsid w:val="4F7A3E56"/>
    <w:rsid w:val="4F8151E4"/>
    <w:rsid w:val="4F9A0054"/>
    <w:rsid w:val="4F9B565B"/>
    <w:rsid w:val="4FAB6D53"/>
    <w:rsid w:val="50290F96"/>
    <w:rsid w:val="502D3F48"/>
    <w:rsid w:val="50302767"/>
    <w:rsid w:val="50602E08"/>
    <w:rsid w:val="506A3ECB"/>
    <w:rsid w:val="5079410E"/>
    <w:rsid w:val="508605D9"/>
    <w:rsid w:val="50921DEA"/>
    <w:rsid w:val="50E772C9"/>
    <w:rsid w:val="50EA16D2"/>
    <w:rsid w:val="50FE637F"/>
    <w:rsid w:val="51434BA7"/>
    <w:rsid w:val="51586419"/>
    <w:rsid w:val="5176445A"/>
    <w:rsid w:val="517F5754"/>
    <w:rsid w:val="51A96C75"/>
    <w:rsid w:val="51B3364F"/>
    <w:rsid w:val="51D04201"/>
    <w:rsid w:val="51E457B1"/>
    <w:rsid w:val="51EE28D9"/>
    <w:rsid w:val="52350508"/>
    <w:rsid w:val="524E7395"/>
    <w:rsid w:val="52AB1285"/>
    <w:rsid w:val="52B0193D"/>
    <w:rsid w:val="530F4327"/>
    <w:rsid w:val="531F6EC4"/>
    <w:rsid w:val="53670B95"/>
    <w:rsid w:val="537D4BBD"/>
    <w:rsid w:val="53971665"/>
    <w:rsid w:val="53A22557"/>
    <w:rsid w:val="540626ED"/>
    <w:rsid w:val="54640C31"/>
    <w:rsid w:val="547E3308"/>
    <w:rsid w:val="549372DE"/>
    <w:rsid w:val="54A86D6F"/>
    <w:rsid w:val="54C3004D"/>
    <w:rsid w:val="54DA7145"/>
    <w:rsid w:val="54E87AB4"/>
    <w:rsid w:val="54ED50CA"/>
    <w:rsid w:val="5520724E"/>
    <w:rsid w:val="552A4C76"/>
    <w:rsid w:val="55484E1D"/>
    <w:rsid w:val="55C4407D"/>
    <w:rsid w:val="55C93441"/>
    <w:rsid w:val="55CB6554"/>
    <w:rsid w:val="55D50038"/>
    <w:rsid w:val="55EB160A"/>
    <w:rsid w:val="56002BDB"/>
    <w:rsid w:val="56262642"/>
    <w:rsid w:val="56300518"/>
    <w:rsid w:val="567E4136"/>
    <w:rsid w:val="56A31EE4"/>
    <w:rsid w:val="571C20AD"/>
    <w:rsid w:val="571E7ECD"/>
    <w:rsid w:val="572F79C6"/>
    <w:rsid w:val="573C1866"/>
    <w:rsid w:val="57476D14"/>
    <w:rsid w:val="57643691"/>
    <w:rsid w:val="576C1626"/>
    <w:rsid w:val="57EA3B43"/>
    <w:rsid w:val="57EE718F"/>
    <w:rsid w:val="57FA1046"/>
    <w:rsid w:val="581D1822"/>
    <w:rsid w:val="5853793A"/>
    <w:rsid w:val="5860354B"/>
    <w:rsid w:val="58690F0C"/>
    <w:rsid w:val="58866E9B"/>
    <w:rsid w:val="58935F89"/>
    <w:rsid w:val="58A41C96"/>
    <w:rsid w:val="58AB5080"/>
    <w:rsid w:val="58B23105"/>
    <w:rsid w:val="58FC1D80"/>
    <w:rsid w:val="58FD5A32"/>
    <w:rsid w:val="590969A2"/>
    <w:rsid w:val="590F08F9"/>
    <w:rsid w:val="59345F1F"/>
    <w:rsid w:val="59374B66"/>
    <w:rsid w:val="593A6404"/>
    <w:rsid w:val="594661BA"/>
    <w:rsid w:val="59637709"/>
    <w:rsid w:val="599C04BB"/>
    <w:rsid w:val="59C53F20"/>
    <w:rsid w:val="59CF4D9E"/>
    <w:rsid w:val="59F24396"/>
    <w:rsid w:val="5A1A070F"/>
    <w:rsid w:val="5A220FA1"/>
    <w:rsid w:val="5A3317D1"/>
    <w:rsid w:val="5A693FDA"/>
    <w:rsid w:val="5AB256CE"/>
    <w:rsid w:val="5ABC32F9"/>
    <w:rsid w:val="5B526733"/>
    <w:rsid w:val="5B5C4D58"/>
    <w:rsid w:val="5B5E287E"/>
    <w:rsid w:val="5B81656C"/>
    <w:rsid w:val="5BA65FD3"/>
    <w:rsid w:val="5BC25545"/>
    <w:rsid w:val="5C304D92"/>
    <w:rsid w:val="5C33660A"/>
    <w:rsid w:val="5C5E29C7"/>
    <w:rsid w:val="5C71038F"/>
    <w:rsid w:val="5C8F6A67"/>
    <w:rsid w:val="5CEE7C31"/>
    <w:rsid w:val="5D026E12"/>
    <w:rsid w:val="5D0D6309"/>
    <w:rsid w:val="5D4A130C"/>
    <w:rsid w:val="5D544D7B"/>
    <w:rsid w:val="5D8660BC"/>
    <w:rsid w:val="5D8D744A"/>
    <w:rsid w:val="5DA6050C"/>
    <w:rsid w:val="5DC46299"/>
    <w:rsid w:val="5E0F60B1"/>
    <w:rsid w:val="5E2D4789"/>
    <w:rsid w:val="5E5D0BCB"/>
    <w:rsid w:val="5E6F0CC3"/>
    <w:rsid w:val="5E7128C8"/>
    <w:rsid w:val="5EAC1B52"/>
    <w:rsid w:val="5EBE7E0C"/>
    <w:rsid w:val="5ED864A3"/>
    <w:rsid w:val="5EDB41E5"/>
    <w:rsid w:val="5EE4322F"/>
    <w:rsid w:val="5F2F48BE"/>
    <w:rsid w:val="5F4D3D82"/>
    <w:rsid w:val="5F553F98"/>
    <w:rsid w:val="5F65716A"/>
    <w:rsid w:val="5F9A5E4E"/>
    <w:rsid w:val="5FC4513D"/>
    <w:rsid w:val="5FF217E7"/>
    <w:rsid w:val="603B7DBC"/>
    <w:rsid w:val="60903FCF"/>
    <w:rsid w:val="60FD0443"/>
    <w:rsid w:val="61007F33"/>
    <w:rsid w:val="613876CD"/>
    <w:rsid w:val="61435E29"/>
    <w:rsid w:val="6151253D"/>
    <w:rsid w:val="6192502F"/>
    <w:rsid w:val="61A81485"/>
    <w:rsid w:val="61EB2991"/>
    <w:rsid w:val="6280757E"/>
    <w:rsid w:val="628A21AA"/>
    <w:rsid w:val="62C21944"/>
    <w:rsid w:val="62D1212E"/>
    <w:rsid w:val="62E93375"/>
    <w:rsid w:val="63521682"/>
    <w:rsid w:val="635F53E5"/>
    <w:rsid w:val="6381535B"/>
    <w:rsid w:val="638A25E9"/>
    <w:rsid w:val="638C0197"/>
    <w:rsid w:val="639570B0"/>
    <w:rsid w:val="639F7B3D"/>
    <w:rsid w:val="63A44BA2"/>
    <w:rsid w:val="63DF2929"/>
    <w:rsid w:val="63E853DA"/>
    <w:rsid w:val="64002371"/>
    <w:rsid w:val="64025D70"/>
    <w:rsid w:val="640B266D"/>
    <w:rsid w:val="640D3093"/>
    <w:rsid w:val="641D688F"/>
    <w:rsid w:val="6437345D"/>
    <w:rsid w:val="643A3DC4"/>
    <w:rsid w:val="646F3406"/>
    <w:rsid w:val="64AC5DA7"/>
    <w:rsid w:val="64C96613"/>
    <w:rsid w:val="65000502"/>
    <w:rsid w:val="65032DF9"/>
    <w:rsid w:val="651421FF"/>
    <w:rsid w:val="65183A9D"/>
    <w:rsid w:val="653D3504"/>
    <w:rsid w:val="654E74BF"/>
    <w:rsid w:val="6551131C"/>
    <w:rsid w:val="657959FC"/>
    <w:rsid w:val="65801643"/>
    <w:rsid w:val="659000CD"/>
    <w:rsid w:val="65E25E59"/>
    <w:rsid w:val="65FC3BAD"/>
    <w:rsid w:val="66650F64"/>
    <w:rsid w:val="66967370"/>
    <w:rsid w:val="66BA3EC8"/>
    <w:rsid w:val="66BA5445"/>
    <w:rsid w:val="66E300DB"/>
    <w:rsid w:val="67103ED9"/>
    <w:rsid w:val="673B7F17"/>
    <w:rsid w:val="67642682"/>
    <w:rsid w:val="678A1A6C"/>
    <w:rsid w:val="67C12E69"/>
    <w:rsid w:val="682351FE"/>
    <w:rsid w:val="683D178F"/>
    <w:rsid w:val="683E1A6D"/>
    <w:rsid w:val="68401CAE"/>
    <w:rsid w:val="688C18D2"/>
    <w:rsid w:val="68B3488C"/>
    <w:rsid w:val="694F7CAA"/>
    <w:rsid w:val="69877444"/>
    <w:rsid w:val="69B10E15"/>
    <w:rsid w:val="69C37593"/>
    <w:rsid w:val="6A22716C"/>
    <w:rsid w:val="6A41142C"/>
    <w:rsid w:val="6A8676FB"/>
    <w:rsid w:val="6A8A482B"/>
    <w:rsid w:val="6AD77F57"/>
    <w:rsid w:val="6AF26B3F"/>
    <w:rsid w:val="6AF91B8D"/>
    <w:rsid w:val="6B101722"/>
    <w:rsid w:val="6B1E7B31"/>
    <w:rsid w:val="6B517D09"/>
    <w:rsid w:val="6B5670CE"/>
    <w:rsid w:val="6B5D5C8E"/>
    <w:rsid w:val="6B967A7B"/>
    <w:rsid w:val="6BA605BA"/>
    <w:rsid w:val="6BCE3089"/>
    <w:rsid w:val="6C154780"/>
    <w:rsid w:val="6C4C5516"/>
    <w:rsid w:val="6C68355C"/>
    <w:rsid w:val="6C702411"/>
    <w:rsid w:val="6CB30550"/>
    <w:rsid w:val="6CE01E41"/>
    <w:rsid w:val="6CF272CA"/>
    <w:rsid w:val="6CF5239E"/>
    <w:rsid w:val="6D2C1207"/>
    <w:rsid w:val="6D3D2C47"/>
    <w:rsid w:val="6D464F20"/>
    <w:rsid w:val="6D696D80"/>
    <w:rsid w:val="6D6C2BD8"/>
    <w:rsid w:val="6D837823"/>
    <w:rsid w:val="6D8617C0"/>
    <w:rsid w:val="6D8C5028"/>
    <w:rsid w:val="6D953CC3"/>
    <w:rsid w:val="6DAF51BB"/>
    <w:rsid w:val="6E056B89"/>
    <w:rsid w:val="6E2711F5"/>
    <w:rsid w:val="6E2C05BA"/>
    <w:rsid w:val="6E4111F0"/>
    <w:rsid w:val="6E4B5BB4"/>
    <w:rsid w:val="6E7004A6"/>
    <w:rsid w:val="6E755ABD"/>
    <w:rsid w:val="6E9F3884"/>
    <w:rsid w:val="6EA32411"/>
    <w:rsid w:val="6EB023CD"/>
    <w:rsid w:val="6ECB3E6A"/>
    <w:rsid w:val="6EEB2223"/>
    <w:rsid w:val="6F5A6B19"/>
    <w:rsid w:val="6FAB550E"/>
    <w:rsid w:val="6FB22D40"/>
    <w:rsid w:val="6FC420DD"/>
    <w:rsid w:val="6FCB7F43"/>
    <w:rsid w:val="701C5C8F"/>
    <w:rsid w:val="70457711"/>
    <w:rsid w:val="70535758"/>
    <w:rsid w:val="70535BB2"/>
    <w:rsid w:val="705F504D"/>
    <w:rsid w:val="708E2E66"/>
    <w:rsid w:val="70A97C9F"/>
    <w:rsid w:val="70D951E5"/>
    <w:rsid w:val="710B095A"/>
    <w:rsid w:val="712457FC"/>
    <w:rsid w:val="71302AFD"/>
    <w:rsid w:val="71366B0F"/>
    <w:rsid w:val="71374018"/>
    <w:rsid w:val="713E2ADE"/>
    <w:rsid w:val="714B20BE"/>
    <w:rsid w:val="71687B5B"/>
    <w:rsid w:val="71724535"/>
    <w:rsid w:val="719F3B54"/>
    <w:rsid w:val="71B54819"/>
    <w:rsid w:val="71E33685"/>
    <w:rsid w:val="7264761D"/>
    <w:rsid w:val="727442DD"/>
    <w:rsid w:val="72861846"/>
    <w:rsid w:val="729A7784"/>
    <w:rsid w:val="72A026AB"/>
    <w:rsid w:val="72EC0317"/>
    <w:rsid w:val="73426189"/>
    <w:rsid w:val="73501933"/>
    <w:rsid w:val="735760D9"/>
    <w:rsid w:val="739E5AB6"/>
    <w:rsid w:val="73A62BBC"/>
    <w:rsid w:val="73F456D6"/>
    <w:rsid w:val="73F92CEC"/>
    <w:rsid w:val="741A3C2A"/>
    <w:rsid w:val="742359C8"/>
    <w:rsid w:val="74240AA9"/>
    <w:rsid w:val="742E508B"/>
    <w:rsid w:val="744A13E1"/>
    <w:rsid w:val="745368A0"/>
    <w:rsid w:val="74851F00"/>
    <w:rsid w:val="748C1DB2"/>
    <w:rsid w:val="74956EB9"/>
    <w:rsid w:val="756B5481"/>
    <w:rsid w:val="758E7060"/>
    <w:rsid w:val="759C4277"/>
    <w:rsid w:val="75D91695"/>
    <w:rsid w:val="75EF25F8"/>
    <w:rsid w:val="76206EFF"/>
    <w:rsid w:val="7623607B"/>
    <w:rsid w:val="762B1157"/>
    <w:rsid w:val="769F72A9"/>
    <w:rsid w:val="76A37451"/>
    <w:rsid w:val="76C53359"/>
    <w:rsid w:val="76E13DFE"/>
    <w:rsid w:val="76F33219"/>
    <w:rsid w:val="770A5210"/>
    <w:rsid w:val="772B58B2"/>
    <w:rsid w:val="77324E93"/>
    <w:rsid w:val="77551B4B"/>
    <w:rsid w:val="7762504C"/>
    <w:rsid w:val="77B70362"/>
    <w:rsid w:val="77D308CB"/>
    <w:rsid w:val="77DB2A34"/>
    <w:rsid w:val="77F163D1"/>
    <w:rsid w:val="78004072"/>
    <w:rsid w:val="78361671"/>
    <w:rsid w:val="785250C1"/>
    <w:rsid w:val="7860333A"/>
    <w:rsid w:val="786077DD"/>
    <w:rsid w:val="78AD22F7"/>
    <w:rsid w:val="78B43685"/>
    <w:rsid w:val="78D12489"/>
    <w:rsid w:val="78F02CFD"/>
    <w:rsid w:val="78F22C0E"/>
    <w:rsid w:val="791800B8"/>
    <w:rsid w:val="79183C14"/>
    <w:rsid w:val="79515378"/>
    <w:rsid w:val="796F1429"/>
    <w:rsid w:val="797F5A41"/>
    <w:rsid w:val="7A102B3D"/>
    <w:rsid w:val="7A291E51"/>
    <w:rsid w:val="7A554DCD"/>
    <w:rsid w:val="7AD65B35"/>
    <w:rsid w:val="7AE33563"/>
    <w:rsid w:val="7B0703E4"/>
    <w:rsid w:val="7B810197"/>
    <w:rsid w:val="7BD23472"/>
    <w:rsid w:val="7BEC3B24"/>
    <w:rsid w:val="7BFE4639"/>
    <w:rsid w:val="7C07400A"/>
    <w:rsid w:val="7C1F6867"/>
    <w:rsid w:val="7C5241B9"/>
    <w:rsid w:val="7C727C88"/>
    <w:rsid w:val="7C991510"/>
    <w:rsid w:val="7CAD6D69"/>
    <w:rsid w:val="7CEC7123"/>
    <w:rsid w:val="7CF14EA8"/>
    <w:rsid w:val="7CF23B01"/>
    <w:rsid w:val="7D00333D"/>
    <w:rsid w:val="7D2434EB"/>
    <w:rsid w:val="7D3D00ED"/>
    <w:rsid w:val="7DCA10A8"/>
    <w:rsid w:val="7DDD542C"/>
    <w:rsid w:val="7E2F41F3"/>
    <w:rsid w:val="7E605CEE"/>
    <w:rsid w:val="7E7713DD"/>
    <w:rsid w:val="7EB8617F"/>
    <w:rsid w:val="7EB96EE8"/>
    <w:rsid w:val="7EE83CBD"/>
    <w:rsid w:val="7EF27F55"/>
    <w:rsid w:val="7EF46ED2"/>
    <w:rsid w:val="7F55690C"/>
    <w:rsid w:val="7F6556D9"/>
    <w:rsid w:val="7FAC4C43"/>
    <w:rsid w:val="7FDC1E3F"/>
    <w:rsid w:val="7FE44850"/>
    <w:rsid w:val="7FE64A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360" w:lineRule="auto"/>
      <w:textAlignment w:val="baseline"/>
    </w:pPr>
    <w:rPr>
      <w:rFonts w:ascii="Times New Roman" w:hAnsi="Times New Roman" w:eastAsia="宋体" w:cs="宋体"/>
      <w:snapToGrid w:val="0"/>
      <w:color w:val="000000"/>
      <w:sz w:val="24"/>
      <w:szCs w:val="24"/>
      <w:lang w:val="en-US" w:eastAsia="en-US" w:bidi="ar-SA"/>
    </w:rPr>
  </w:style>
  <w:style w:type="paragraph" w:styleId="2">
    <w:name w:val="heading 1"/>
    <w:basedOn w:val="1"/>
    <w:next w:val="1"/>
    <w:qFormat/>
    <w:uiPriority w:val="0"/>
    <w:pPr>
      <w:keepNext/>
      <w:keepLines/>
      <w:outlineLvl w:val="0"/>
    </w:pPr>
    <w:rPr>
      <w:b/>
      <w:kern w:val="44"/>
      <w:sz w:val="32"/>
    </w:rPr>
  </w:style>
  <w:style w:type="paragraph" w:styleId="3">
    <w:name w:val="heading 2"/>
    <w:basedOn w:val="1"/>
    <w:next w:val="1"/>
    <w:link w:val="26"/>
    <w:unhideWhenUsed/>
    <w:qFormat/>
    <w:uiPriority w:val="0"/>
    <w:pPr>
      <w:keepNext/>
      <w:keepLines/>
      <w:outlineLvl w:val="1"/>
    </w:pPr>
    <w:rPr>
      <w:b/>
      <w:sz w:val="30"/>
    </w:rPr>
  </w:style>
  <w:style w:type="paragraph" w:styleId="4">
    <w:name w:val="heading 3"/>
    <w:basedOn w:val="1"/>
    <w:next w:val="1"/>
    <w:unhideWhenUsed/>
    <w:qFormat/>
    <w:uiPriority w:val="0"/>
    <w:pPr>
      <w:keepNext/>
      <w:keepLines/>
      <w:outlineLvl w:val="2"/>
    </w:pPr>
    <w:rPr>
      <w:b/>
      <w:sz w:val="28"/>
    </w:r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paragraph" w:styleId="6">
    <w:name w:val="heading 5"/>
    <w:basedOn w:val="1"/>
    <w:next w:val="1"/>
    <w:unhideWhenUsed/>
    <w:qFormat/>
    <w:uiPriority w:val="0"/>
    <w:pPr>
      <w:keepNext/>
      <w:keepLines/>
      <w:spacing w:before="280" w:after="290" w:line="372" w:lineRule="auto"/>
      <w:outlineLvl w:val="4"/>
    </w:pPr>
    <w:rPr>
      <w:b/>
      <w:sz w:val="28"/>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23"/>
    <w:qFormat/>
    <w:uiPriority w:val="0"/>
  </w:style>
  <w:style w:type="paragraph" w:styleId="8">
    <w:name w:val="Body Text"/>
    <w:basedOn w:val="1"/>
    <w:link w:val="19"/>
    <w:qFormat/>
    <w:uiPriority w:val="0"/>
    <w:pPr>
      <w:ind w:firstLine="880" w:firstLineChars="200"/>
      <w:jc w:val="both"/>
    </w:pPr>
  </w:style>
  <w:style w:type="paragraph" w:styleId="9">
    <w:name w:val="Body Text Indent"/>
    <w:basedOn w:val="1"/>
    <w:next w:val="1"/>
    <w:qFormat/>
    <w:uiPriority w:val="0"/>
    <w:pPr>
      <w:spacing w:after="120"/>
      <w:ind w:left="420" w:leftChars="200"/>
    </w:pPr>
  </w:style>
  <w:style w:type="paragraph" w:styleId="10">
    <w:name w:val="footer"/>
    <w:basedOn w:val="1"/>
    <w:qFormat/>
    <w:uiPriority w:val="99"/>
    <w:pPr>
      <w:tabs>
        <w:tab w:val="center" w:pos="4153"/>
        <w:tab w:val="right" w:pos="8306"/>
      </w:tabs>
    </w:pPr>
    <w:rPr>
      <w:sz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pacing w:line="240" w:lineRule="auto"/>
      <w:jc w:val="both"/>
    </w:pPr>
    <w:rPr>
      <w:sz w:val="18"/>
    </w:rPr>
  </w:style>
  <w:style w:type="paragraph" w:styleId="12">
    <w:name w:val="annotation subject"/>
    <w:basedOn w:val="7"/>
    <w:next w:val="7"/>
    <w:link w:val="27"/>
    <w:qFormat/>
    <w:uiPriority w:val="0"/>
    <w:rPr>
      <w:b/>
      <w:bCs/>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annotation reference"/>
    <w:basedOn w:val="15"/>
    <w:qFormat/>
    <w:uiPriority w:val="0"/>
    <w:rPr>
      <w:sz w:val="21"/>
      <w:szCs w:val="21"/>
    </w:rPr>
  </w:style>
  <w:style w:type="paragraph" w:customStyle="1" w:styleId="17">
    <w:name w:val="表格正文"/>
    <w:basedOn w:val="8"/>
    <w:qFormat/>
    <w:uiPriority w:val="0"/>
    <w:pPr>
      <w:widowControl w:val="0"/>
      <w:spacing w:line="240" w:lineRule="auto"/>
      <w:ind w:firstLine="0" w:firstLineChars="0"/>
      <w:jc w:val="center"/>
    </w:pPr>
    <w:rPr>
      <w:rFonts w:cs="Times New Roman"/>
      <w:kern w:val="2"/>
      <w:sz w:val="21"/>
      <w:lang w:eastAsia="zh-CN"/>
    </w:rPr>
  </w:style>
  <w:style w:type="paragraph" w:customStyle="1" w:styleId="18">
    <w:name w:val="表格标题"/>
    <w:basedOn w:val="8"/>
    <w:link w:val="22"/>
    <w:semiHidden/>
    <w:qFormat/>
    <w:uiPriority w:val="0"/>
    <w:pPr>
      <w:spacing w:line="240" w:lineRule="auto"/>
      <w:ind w:firstLine="0" w:firstLineChars="0"/>
      <w:jc w:val="center"/>
    </w:pPr>
    <w:rPr>
      <w:rFonts w:cs="Times New Roman"/>
      <w:b/>
      <w:sz w:val="21"/>
      <w:szCs w:val="21"/>
    </w:rPr>
  </w:style>
  <w:style w:type="character" w:customStyle="1" w:styleId="19">
    <w:name w:val="正文文本 字符"/>
    <w:link w:val="8"/>
    <w:qFormat/>
    <w:uiPriority w:val="0"/>
    <w:rPr>
      <w:rFonts w:ascii="Times New Roman" w:hAnsi="Times New Roman" w:eastAsia="宋体"/>
    </w:rPr>
  </w:style>
  <w:style w:type="paragraph" w:customStyle="1" w:styleId="20">
    <w:name w:val="Table Text"/>
    <w:basedOn w:val="1"/>
    <w:semiHidden/>
    <w:qFormat/>
    <w:uiPriority w:val="0"/>
    <w:rPr>
      <w:rFonts w:ascii="宋体" w:hAnsi="宋体"/>
    </w:rPr>
  </w:style>
  <w:style w:type="table" w:customStyle="1" w:styleId="21">
    <w:name w:val="Table Normal"/>
    <w:semiHidden/>
    <w:unhideWhenUsed/>
    <w:qFormat/>
    <w:uiPriority w:val="0"/>
    <w:tblPr>
      <w:tblCellMar>
        <w:top w:w="0" w:type="dxa"/>
        <w:left w:w="0" w:type="dxa"/>
        <w:bottom w:w="0" w:type="dxa"/>
        <w:right w:w="0" w:type="dxa"/>
      </w:tblCellMar>
    </w:tblPr>
  </w:style>
  <w:style w:type="character" w:customStyle="1" w:styleId="22">
    <w:name w:val="表格标题 Char"/>
    <w:link w:val="18"/>
    <w:qFormat/>
    <w:uiPriority w:val="0"/>
    <w:rPr>
      <w:rFonts w:ascii="Times New Roman" w:hAnsi="Times New Roman" w:eastAsia="宋体" w:cs="Times New Roman"/>
      <w:b/>
      <w:sz w:val="21"/>
      <w:szCs w:val="21"/>
    </w:rPr>
  </w:style>
  <w:style w:type="character" w:customStyle="1" w:styleId="23">
    <w:name w:val="批注文字 字符"/>
    <w:link w:val="7"/>
    <w:qFormat/>
    <w:uiPriority w:val="0"/>
  </w:style>
  <w:style w:type="paragraph" w:customStyle="1" w:styleId="24">
    <w:name w:val="表头"/>
    <w:basedOn w:val="25"/>
    <w:next w:val="1"/>
    <w:qFormat/>
    <w:uiPriority w:val="0"/>
    <w:pPr>
      <w:spacing w:after="0"/>
      <w:ind w:left="0" w:leftChars="0"/>
      <w:jc w:val="center"/>
    </w:pPr>
    <w:rPr>
      <w:rFonts w:eastAsia="黑体"/>
      <w:b/>
    </w:rPr>
  </w:style>
  <w:style w:type="paragraph" w:customStyle="1" w:styleId="25">
    <w:name w:val="文本"/>
    <w:basedOn w:val="9"/>
    <w:qFormat/>
    <w:uiPriority w:val="0"/>
  </w:style>
  <w:style w:type="character" w:customStyle="1" w:styleId="26">
    <w:name w:val="标题 2 字符"/>
    <w:link w:val="3"/>
    <w:qFormat/>
    <w:uiPriority w:val="0"/>
    <w:rPr>
      <w:b/>
      <w:sz w:val="30"/>
    </w:rPr>
  </w:style>
  <w:style w:type="character" w:customStyle="1" w:styleId="27">
    <w:name w:val="批注主题 字符"/>
    <w:basedOn w:val="23"/>
    <w:link w:val="12"/>
    <w:qFormat/>
    <w:uiPriority w:val="0"/>
    <w:rPr>
      <w:rFonts w:cs="宋体"/>
      <w:b/>
      <w:bCs/>
      <w:snapToGrid w:val="0"/>
      <w:color w:val="000000"/>
      <w:sz w:val="24"/>
      <w:szCs w:val="24"/>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endnotes" Target="endnotes.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png"/><Relationship Id="rId31" Type="http://schemas.openxmlformats.org/officeDocument/2006/relationships/image" Target="media/image21.jpe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e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oleObject" Target="embeddings/oleObject3.bin"/><Relationship Id="rId17" Type="http://schemas.openxmlformats.org/officeDocument/2006/relationships/image" Target="media/image9.emf"/><Relationship Id="rId16" Type="http://schemas.openxmlformats.org/officeDocument/2006/relationships/oleObject" Target="embeddings/oleObject2.bin"/><Relationship Id="rId15" Type="http://schemas.openxmlformats.org/officeDocument/2006/relationships/image" Target="media/image8.emf"/><Relationship Id="rId14" Type="http://schemas.openxmlformats.org/officeDocument/2006/relationships/oleObject" Target="embeddings/oleObject1.bin"/><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89</Pages>
  <Words>50472</Words>
  <Characters>58380</Characters>
  <Lines>454</Lines>
  <Paragraphs>127</Paragraphs>
  <TotalTime>101</TotalTime>
  <ScaleCrop>false</ScaleCrop>
  <LinksUpToDate>false</LinksUpToDate>
  <CharactersWithSpaces>58712</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2026-01-06T07:20:00Z</dcterms:created>
  <dc:creator>张子华</dc:creator>
  <cp:lastModifiedBy>张子华</cp:lastModifiedBy>
  <dcterms:modified xsi:type="dcterms:W3CDTF">2026-03-11T08:07:39Z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55095E09FB124E7CAB5DE4DE1A86EA34_13</vt:lpwstr>
  </property>
  <property fmtid="{D5CDD505-2E9C-101B-9397-08002B2CF9AE}" pid="4" name="KSOTemplateDocerSaveRecord">
    <vt:lpwstr>eyJoZGlkIjoiYTA1YWY3ZGI1NWFlNTNjNTA2ZmJmM2QyMTFkZGFhYmQiLCJ1c2VySWQiOiI1NjI4Mzk0OTIifQ==</vt:lpwstr>
  </property>
</Properties>
</file>